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Customer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FEB-25Q2-0033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Infra Cost, Revenue, Fraud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58ms across all payment channels, marking a 10.6% growth from prior benchmarks. The performance improvement can be attributed to infrastructure optimization, which enhanced system throughput and reduced processing bottlenecks. Detailed analysis indicates that 16% of transactions completed within the target SLA threshold.</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0.20% of total transaction volume. The fraud prevention systems successfully identified and blocked $2.8M in potentially fraudulent activities. Enhanced machine learning models contributed to a 10.6%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Regulatory risk assessment identified 19 areas requiring enhanced monitoring and control frameworks. The compliance team successfully addressed 10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4</w:t>
      </w:r>
    </w:p>
    <w:p>
      <w:pPr>
        <w:spacing w:after="200"/>
      </w:pPr>
      <w:r>
        <w:t xml:space="preserve">Revenue generation for this period demonstrated moderate momentum, with total realized revenue reaching $729.9M, representing a 10.6% growth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16%, with 19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19 opportunities for automation and simplification that could reduce average onboarding time by 16%.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11 months with projected annual savings of $729.9M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$729.9M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79.8%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$10.7M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2026-02-05T08:24:46.216Z</dcterms:created>
  <dcterms:modified xsi:type="dcterms:W3CDTF">2026-02-05T08:24:46.216Z</dcterms:modified>
</cp:coreProperties>
</file>

<file path=docProps/custom.xml><?xml version="1.0" encoding="utf-8"?>
<Properties xmlns="http://schemas.openxmlformats.org/officeDocument/2006/custom-properties" xmlns:vt="http://schemas.openxmlformats.org/officeDocument/2006/docPropsVTypes"/>
</file>