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FEB-25Q2-0047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2025-05-17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Neptune Payments performance during Q2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Customer Churn, Fraud Rate, Regulatory Risk, Infra Cost</w:t>
      </w:r>
    </w:p>
    <w:p>
      <w:pPr>
        <w:pStyle w:val="Heading2"/>
        <w:spacing w:before="180" w:after="100"/>
      </w:pPr>
      <w:r>
        <w:rPr>
          <w:b/>
          <w:bCs/>
          <w:sz w:val="24"/>
          <w:szCs w:val="24"/>
        </w:rPr>
        <w:t xml:space="preserve">KPI Analysis 1</w:t>
      </w:r>
    </w:p>
    <w:p>
      <w:pPr>
        <w:spacing w:after="200"/>
      </w:pPr>
      <w:r>
        <w:t xml:space="preserve">Transaction latency metrics revealed an average response time of 68ms across all payment channels, marking a 21.4% improvement from prior benchmarks. The performance improvement can be attributed to infrastructure optimization, which enhanced system throughput and reduced processing bottlenecks. Detailed analysis indicates that 42% of transactions completed within the target SLA threshold.</w:t>
      </w:r>
    </w:p>
    <w:p>
      <w:pPr>
        <w:pStyle w:val="Heading2"/>
        <w:spacing w:before="180" w:after="100"/>
      </w:pPr>
      <w:r>
        <w:rPr>
          <w:b/>
          <w:bCs/>
          <w:sz w:val="24"/>
          <w:szCs w:val="24"/>
        </w:rPr>
        <w:t xml:space="preserve">KPI Analysis 2</w:t>
      </w:r>
    </w:p>
    <w:p>
      <w:pPr>
        <w:spacing w:after="200"/>
      </w:pPr>
      <w:r>
        <w:t xml:space="preserve">Customer churn analysis indicates a retention rate of 93.8%, with 544 customers discontinuing service during the reporting period. Primary churn drivers included service issues, accounting for 42% of total attrition. Proactive retention initiatives managed to save approximately 42%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Revenue generation for this period demonstrated positive momentum, with total realized revenue reaching $660.8M, representing a 21.4% improvement compared to the previous quarter. This performance was primarily driven by product enhancements,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Regulatory risk assessment identified 7 areas requiring enhanced monitoring and control frameworks. The compliance team successfully addressed 4 previously identified issues while implementing 4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42% improvement in identification accuracy while reducing false positive rates by 42%.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7 months with projected annual savings of $660.8M upon full implementation.</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$660.8M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2026-02-05T08:24:46.331Z</dcterms:created>
  <dcterms:modified xsi:type="dcterms:W3CDTF">2026-02-05T08:24:46.331Z</dcterms:modified>
</cp:coreProperties>
</file>

<file path=docProps/custom.xml><?xml version="1.0" encoding="utf-8"?>
<Properties xmlns="http://schemas.openxmlformats.org/officeDocument/2006/custom-properties" xmlns:vt="http://schemas.openxmlformats.org/officeDocument/2006/docPropsVTypes"/>
</file>