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Security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FEB-25Q2-0053</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2025-06-08</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Q2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Zenith Risk</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Kavya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Risk Manager</w:t>
            </w:r>
          </w:p>
        </w:tc>
      </w:tr>
    </w:tbl>
    <w:p>
      <w:pPr>
        <w:spacing w:after="300"/>
      </w:pPr>
    </w:p>
    <w:p>
      <w:pPr>
        <w:pStyle w:val="Heading1"/>
        <w:spacing w:before="240" w:after="120"/>
      </w:pPr>
      <w:r>
        <w:rPr>
          <w:b/>
          <w:bCs/>
          <w:sz w:val="28"/>
          <w:szCs w:val="28"/>
        </w:rPr>
        <w:t xml:space="preserve">Executive Summary</w:t>
      </w:r>
    </w:p>
    <w:p>
      <w:pPr>
        <w:spacing w:after="200"/>
      </w:pPr>
      <w:r>
        <w:t xml:space="preserve">This analytical review focuses on Zenith Risk outcomes achieved during Q2 2025. The report synthesizes data from multiple sources to present a holistic view of project performance, resource utilization, and strategic value delivery.</w:t>
      </w:r>
    </w:p>
    <w:p>
      <w:pPr>
        <w:pStyle w:val="Heading1"/>
        <w:spacing w:before="240" w:after="120"/>
      </w:pPr>
      <w:r>
        <w:rPr>
          <w:b/>
          <w:bCs/>
          <w:sz w:val="28"/>
          <w:szCs w:val="28"/>
        </w:rPr>
        <w:t xml:space="preserve">Key Performance Indicators</w:t>
      </w:r>
    </w:p>
    <w:p>
      <w:pPr>
        <w:spacing w:after="200"/>
      </w:pPr>
      <w:r>
        <w:rPr>
          <w:i/>
          <w:iCs/>
        </w:rPr>
        <w:t xml:space="preserve">Focus Areas: Fraud Rate, Regulatory Risk, Revenue, Infra Cost</w:t>
      </w:r>
    </w:p>
    <w:p>
      <w:pPr>
        <w:pStyle w:val="Heading2"/>
        <w:spacing w:before="180" w:after="100"/>
      </w:pPr>
      <w:r>
        <w:rPr>
          <w:b/>
          <w:bCs/>
          <w:sz w:val="24"/>
          <w:szCs w:val="24"/>
        </w:rPr>
        <w:t xml:space="preserve">KPI Analysis 1</w:t>
      </w:r>
    </w:p>
    <w:p>
      <w:pPr>
        <w:spacing w:after="200"/>
      </w:pPr>
      <w:r>
        <w:t xml:space="preserve">Fraud detection capabilities showed moderate performance this quarter, with the overall fraud rate measuring 0.25% of total transaction volume. The fraud prevention systems successfully identified and blocked $5.2M in potentially fraudulent activities. Enhanced machine learning models contributed to a 12.5% improvement in detection accuracy while maintaining low false positive rates.</w:t>
      </w:r>
    </w:p>
    <w:p>
      <w:pPr>
        <w:pStyle w:val="Heading2"/>
        <w:spacing w:before="180" w:after="100"/>
      </w:pPr>
      <w:r>
        <w:rPr>
          <w:b/>
          <w:bCs/>
          <w:sz w:val="24"/>
          <w:szCs w:val="24"/>
        </w:rPr>
        <w:t xml:space="preserve">KPI Analysis 2</w:t>
      </w:r>
    </w:p>
    <w:p>
      <w:pPr>
        <w:spacing w:after="200"/>
      </w:pPr>
      <w:r>
        <w:t xml:space="preserve">Regulatory risk assessment identified 19 areas requiring enhanced monitoring and control frameworks. The compliance team successfully addressed 4 previously identified issues while implementing 2 additional safeguards. All regulatory reporting obligations were met within prescribed deadlines, with zero material findings from external audits.</w:t>
      </w:r>
    </w:p>
    <w:p>
      <w:pPr>
        <w:pStyle w:val="Heading2"/>
        <w:spacing w:before="180" w:after="100"/>
      </w:pPr>
      <w:r>
        <w:rPr>
          <w:b/>
          <w:bCs/>
          <w:sz w:val="24"/>
          <w:szCs w:val="24"/>
        </w:rPr>
        <w:t xml:space="preserve">KPI Analysis 3</w:t>
      </w:r>
    </w:p>
    <w:p>
      <w:pPr>
        <w:spacing w:after="200"/>
      </w:pPr>
      <w:r>
        <w:t xml:space="preserve">Customer churn analysis indicates a retention rate of 96.6%, with 514 customers discontinuing service during the reporting period. Primary churn drivers included feature gaps, accounting for 39% of total attrition. Proactive retention initiatives managed to save approximately 39% of at-risk customers through targeted engagement and service improvements.</w:t>
      </w:r>
    </w:p>
    <w:p>
      <w:pPr>
        <w:pStyle w:val="Heading2"/>
        <w:spacing w:before="180" w:after="100"/>
      </w:pPr>
      <w:r>
        <w:rPr>
          <w:b/>
          <w:bCs/>
          <w:sz w:val="24"/>
          <w:szCs w:val="24"/>
        </w:rPr>
        <w:t xml:space="preserve">KPI Analysis 4</w:t>
      </w:r>
    </w:p>
    <w:p>
      <w:pPr>
        <w:spacing w:after="200"/>
      </w:pPr>
      <w:r>
        <w:t xml:space="preserve">Infrastructure cost optimization initiatives yielded significant results, with total operational expenditure of $736.1M representing a 12.5% increase from forecast. Cloud resource optimization, improved capacity planning, and strategic vendor negotiations contributed to the cost efficiency gains. The cost-per-transaction metric improved to $0.067, supporting improved unit economics.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Regulatory landscape changes introduced new compliance requirements that necessitated rapid policy updates and system modifications. The compressed implementation timeline created resource allocation challenges and required coordination across multiple functional teams. Despite these constraints, all mandatory changes were deployed successfully ahead of enforcement deadlines.</w:t>
      </w:r>
    </w:p>
    <w:p>
      <w:pPr>
        <w:pStyle w:val="Heading2"/>
        <w:spacing w:before="180" w:after="100"/>
      </w:pPr>
      <w:r>
        <w:rPr>
          <w:b/>
          <w:bCs/>
          <w:sz w:val="24"/>
          <w:szCs w:val="24"/>
        </w:rPr>
        <w:t xml:space="preserve">Challenge 2</w:t>
      </w:r>
    </w:p>
    <w:p>
      <w:pPr>
        <w:spacing w:after="200"/>
      </w:pPr>
      <w:r>
        <w:t xml:space="preserve">Cybersecurity threat landscape evolution necessitated enhanced protective measures and incident response capabilities. Several attempted intrusions were successfully defended, but the increasing sophistication of attack vectors highlighted the need for continuous security posture improvements and proactive threat intelligence utilization.</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Cost optimization programs exceeded targets, delivering $736.1M in identified savings through operational efficiency improvements and strategic sourcing initiatives. The finance team implemented sophisticated spend analytics and implemented zero-based budgeting approaches that improved resource allocation transparency and accountability across all functional areas.</w:t>
      </w:r>
    </w:p>
    <w:p>
      <w:pPr>
        <w:pStyle w:val="Heading2"/>
        <w:spacing w:before="180" w:after="100"/>
      </w:pPr>
      <w:r>
        <w:rPr>
          <w:b/>
          <w:bCs/>
          <w:sz w:val="24"/>
          <w:szCs w:val="24"/>
        </w:rPr>
        <w:t xml:space="preserve">Achievement 2</w:t>
      </w:r>
    </w:p>
    <w:p>
      <w:pPr>
        <w:spacing w:after="200"/>
      </w:pPr>
      <w:r>
        <w:t xml:space="preserve">Regulatory compliance audit concluded with zero critical findings and commendations for control framework maturity and documentation quality. The compliance team's proactive approach to requirement interpretation and implementation established FinEdge Bank as an industry leader in governance practices. This outcome strengthens stakeholder confidence and competitive positioning.</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Establish dedicated innovation team to explore emerging technologies and business model innovations. The rapidly evolving competitive landscape requires systematic approach to identifying disruptive opportunities and threats. Recommended team size of 4 professionals with cross-functional expertise and appropriate experimentation budget.</w:t>
      </w:r>
    </w:p>
    <w:p>
      <w:pPr>
        <w:pStyle w:val="Heading2"/>
        <w:spacing w:before="180" w:after="100"/>
      </w:pPr>
      <w:r>
        <w:rPr>
          <w:b/>
          <w:bCs/>
          <w:sz w:val="24"/>
          <w:szCs w:val="24"/>
        </w:rPr>
        <w:t xml:space="preserve">Recommendation 2</w:t>
      </w:r>
    </w:p>
    <w:p>
      <w:pPr>
        <w:spacing w:after="200"/>
      </w:pPr>
      <w:r>
        <w:t xml:space="preserve">Accelerate cloud infrastructure migration to enhance scalability, reliability, and cost efficiency. The transition should prioritize customer-facing systems and adopt a phased approach that minimizes service disruption. Estimated completion timeline of 12 months with projected annual savings of $736.1M upon full implementation.</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$736.1M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47ms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0.25%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81.3%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$10.4M</w:t>
            </w:r>
          </w:p>
        </w:tc>
      </w:tr>
    </w:tbl>
    <w:p>
      <w:pPr>
        <w:pStyle w:val="Heading1"/>
        <w:spacing w:before="240" w:after="120"/>
      </w:pPr>
      <w:r>
        <w:rPr>
          <w:b/>
          <w:bCs/>
          <w:sz w:val="28"/>
          <w:szCs w:val="28"/>
        </w:rPr>
        <w:t xml:space="preserve">Conclusion</w:t>
      </w:r>
    </w:p>
    <w:p>
      <w:pPr>
        <w:spacing w:after="200"/>
      </w:pPr>
      <w:r>
        <w:t xml:space="preserve">In summary, Zenith Risk demonstrated solid performance during Q2 2025 with notable achievements in risk management while navigating challenges in technical debt. The strategic priorities for the coming quarter focus on optimizing costs, supported by targeted investments in customer experience. Continued execution of the defined roadmap positions the project well for sustained value delivery.</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2026-02-05T08:24:46.374Z</dcterms:created>
  <dcterms:modified xsi:type="dcterms:W3CDTF">2026-02-05T08:24:46.374Z</dcterms:modified>
</cp:coreProperties>
</file>

<file path=docProps/custom.xml><?xml version="1.0" encoding="utf-8"?>
<Properties xmlns="http://schemas.openxmlformats.org/officeDocument/2006/custom-properties" xmlns:vt="http://schemas.openxmlformats.org/officeDocument/2006/docPropsVTypes"/>
</file>