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Compliance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FEB-25Q2-0054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2025-05-18</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Q2 2025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Atlas Credit</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Siddharth</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Finance Manager</w:t>
            </w:r>
          </w:p>
        </w:tc>
      </w:tr>
    </w:tbl>
    <w:p>
      <w:pPr>
        <w:spacing w:after="300"/>
      </w:pPr>
    </w:p>
    <w:p>
      <w:pPr>
        <w:pStyle w:val="Heading1"/>
        <w:spacing w:before="240" w:after="120"/>
      </w:pPr>
      <w:r>
        <w:rPr>
          <w:b/>
          <w:bCs/>
          <w:sz w:val="28"/>
          <w:szCs w:val="28"/>
        </w:rPr>
        <w:t xml:space="preserve">Executive Summary</w:t>
      </w:r>
    </w:p>
    <w:p>
      <w:pPr>
        <w:spacing w:after="200"/>
      </w:pPr>
      <w:r>
        <w:t xml:space="preserve">The present document serves as a detailed examination of Atlas Credit activities throughout Q2 2025. Our assessment covers critical performance indicators, identifies emerging challenges, and highlights opportunities for optimization and growth.</w:t>
      </w:r>
    </w:p>
    <w:p>
      <w:pPr>
        <w:pStyle w:val="Heading1"/>
        <w:spacing w:before="240" w:after="120"/>
      </w:pPr>
      <w:r>
        <w:rPr>
          <w:b/>
          <w:bCs/>
          <w:sz w:val="28"/>
          <w:szCs w:val="28"/>
        </w:rPr>
        <w:t xml:space="preserve">Key Performance Indicators</w:t>
      </w:r>
    </w:p>
    <w:p>
      <w:pPr>
        <w:spacing w:after="200"/>
      </w:pPr>
      <w:r>
        <w:rPr>
          <w:i/>
          <w:iCs/>
        </w:rPr>
        <w:t xml:space="preserve">Focus Areas: Infra Cost, Regulatory Risk, Revenue</w:t>
      </w:r>
    </w:p>
    <w:p>
      <w:pPr>
        <w:pStyle w:val="Heading2"/>
        <w:spacing w:before="180" w:after="100"/>
      </w:pPr>
      <w:r>
        <w:rPr>
          <w:b/>
          <w:bCs/>
          <w:sz w:val="24"/>
          <w:szCs w:val="24"/>
        </w:rPr>
        <w:t xml:space="preserve">KPI Analysis 1</w:t>
      </w:r>
    </w:p>
    <w:p>
      <w:pPr>
        <w:spacing w:after="200"/>
      </w:pPr>
      <w:r>
        <w:t xml:space="preserve">Revenue generation for this period demonstrated moderate momentum, with total realized revenue reaching $656.4M, representing a 18.2% increase compared to the previous quarter. This performance was primarily driven by pricing optimization, which contributed significantly to the overall financial outcome. The revenue trajectory indicates positive momentum, suggesting sustained momentum in market penetration and customer value realization.</w:t>
      </w:r>
    </w:p>
    <w:p>
      <w:pPr>
        <w:pStyle w:val="Heading2"/>
        <w:spacing w:before="180" w:after="100"/>
      </w:pPr>
      <w:r>
        <w:rPr>
          <w:b/>
          <w:bCs/>
          <w:sz w:val="24"/>
          <w:szCs w:val="24"/>
        </w:rPr>
        <w:t xml:space="preserve">KPI Analysis 2</w:t>
      </w:r>
    </w:p>
    <w:p>
      <w:pPr>
        <w:spacing w:after="200"/>
      </w:pPr>
      <w:r>
        <w:t xml:space="preserve">Transaction latency metrics revealed an average response time of 69ms across all payment channels, marking a 18.2% increase from prior benchmarks. The performance improvement can be attributed to algorithm improvements, which enhanced system throughput and reduced processing bottlenecks. Detailed analysis indicates that 19% of transactions completed within the target SLA threshold.</w:t>
      </w:r>
    </w:p>
    <w:p>
      <w:pPr>
        <w:pStyle w:val="Heading2"/>
        <w:spacing w:before="180" w:after="100"/>
      </w:pPr>
      <w:r>
        <w:rPr>
          <w:b/>
          <w:bCs/>
          <w:sz w:val="24"/>
          <w:szCs w:val="24"/>
        </w:rPr>
        <w:t xml:space="preserve">KPI Analysis 3</w:t>
      </w:r>
    </w:p>
    <w:p>
      <w:pPr>
        <w:spacing w:after="200"/>
      </w:pPr>
      <w:r>
        <w:t xml:space="preserve">Fraud detection capabilities showed moderate performance this quarter, with the overall fraud rate measuring 0.35% of total transaction volume. The fraud prevention systems successfully identified and blocked $3.9M in potentially fraudulent activities. Enhanced machine learning models contributed to a 18.2% improvement in detection accuracy while maintaining low false positive rates.</w:t>
      </w:r>
    </w:p>
    <w:p>
      <w:pPr>
        <w:pStyle w:val="Heading2"/>
        <w:spacing w:before="180" w:after="100"/>
      </w:pPr>
      <w:r>
        <w:rPr>
          <w:b/>
          <w:bCs/>
          <w:sz w:val="24"/>
          <w:szCs w:val="24"/>
        </w:rPr>
        <w:t xml:space="preserve">KPI Analysis 4</w:t>
      </w:r>
    </w:p>
    <w:p>
      <w:pPr>
        <w:spacing w:after="200"/>
      </w:pPr>
      <w:r>
        <w:t xml:space="preserve">Regulatory risk assessment identified 15 areas requiring enhanced monitoring and control frameworks. The compliance team successfully addressed 9 previously identified issues while implementing 1 additional safeguards. All regulatory reporting obligations were met within prescribed deadlines, with zero material findings from external audits.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Data quality issues in the customer information database created complications for analytics and reporting workflows. Approximately 19% of records required remediation due to incomplete or inconsistent data elements. A comprehensive data cleansing initiative was launched, establishing new validation protocols and improving upstream data capture mechanisms.</w:t>
      </w:r>
    </w:p>
    <w:p>
      <w:pPr>
        <w:pStyle w:val="Heading2"/>
        <w:spacing w:before="180" w:after="100"/>
      </w:pPr>
      <w:r>
        <w:rPr>
          <w:b/>
          <w:bCs/>
          <w:sz w:val="24"/>
          <w:szCs w:val="24"/>
        </w:rPr>
        <w:t xml:space="preserve">Challenge 2</w:t>
      </w:r>
    </w:p>
    <w:p>
      <w:pPr>
        <w:spacing w:after="200"/>
      </w:pPr>
      <w:r>
        <w:t xml:space="preserve">Regulatory landscape changes introduced new compliance requirements that necessitated rapid policy updates and system modifications. The compressed implementation timeline created resource allocation challenges and required coordination across multiple functional teams. Despite these constraints, all mandatory changes were deployed successfully ahead of enforcement deadlines.</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Regulatory compliance audit concluded with zero critical findings and commendations for control framework maturity and documentation quality. The compliance team's proactive approach to requirement interpretation and implementation established FinEdge Bank as an industry leader in governance practices. This outcome strengthens stakeholder confidence and competitive positioning.</w:t>
      </w:r>
    </w:p>
    <w:p>
      <w:pPr>
        <w:pStyle w:val="Heading2"/>
        <w:spacing w:before="180" w:after="100"/>
      </w:pPr>
      <w:r>
        <w:rPr>
          <w:b/>
          <w:bCs/>
          <w:sz w:val="24"/>
          <w:szCs w:val="24"/>
        </w:rPr>
        <w:t xml:space="preserve">Achievement 2</w:t>
      </w:r>
    </w:p>
    <w:p>
      <w:pPr>
        <w:spacing w:after="200"/>
      </w:pPr>
      <w:r>
        <w:t xml:space="preserve">Customer satisfaction scores reached an all-time high of 8.5 out of 10, reflecting successful execution of experience enhancement initiatives. Detailed survey feedback highlighted improvements in platform usability, support responsiveness, and feature completeness. The positive sentiment creates strong foundation for customer lifetime value expansion and referral generation.</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Accelerate cloud infrastructure migration to enhance scalability, reliability, and cost efficiency. The transition should prioritize customer-facing systems and adopt a phased approach that minimizes service disruption. Estimated completion timeline of 11 months with projected annual savings of $656.4M upon full implementation.</w:t>
      </w:r>
    </w:p>
    <w:p>
      <w:pPr>
        <w:pStyle w:val="Heading2"/>
        <w:spacing w:before="180" w:after="100"/>
      </w:pPr>
      <w:r>
        <w:rPr>
          <w:b/>
          <w:bCs/>
          <w:sz w:val="24"/>
          <w:szCs w:val="24"/>
        </w:rPr>
        <w:t xml:space="preserve">Recommendation 2</w:t>
      </w:r>
    </w:p>
    <w:p>
      <w:pPr>
        <w:spacing w:after="200"/>
      </w:pPr>
      <w:r>
        <w:t xml:space="preserve">Implement advanced analytics capabilities to derive deeper insights from transaction data and customer behavior patterns. The investment in machine learning infrastructure and data science talent will enable more sophisticated risk modeling, personalized customer experiences, and proactive issue identification. Expected ROI timeline of 11 months with multiple value realization streams.</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$656.4M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69ms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0.35%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6.3%</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80.2%</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$11.3M</w:t>
            </w:r>
          </w:p>
        </w:tc>
      </w:tr>
    </w:tbl>
    <w:p>
      <w:pPr>
        <w:pStyle w:val="Heading1"/>
        <w:spacing w:before="240" w:after="120"/>
      </w:pPr>
      <w:r>
        <w:rPr>
          <w:b/>
          <w:bCs/>
          <w:sz w:val="28"/>
          <w:szCs w:val="28"/>
        </w:rPr>
        <w:t xml:space="preserve">Conclusion</w:t>
      </w:r>
    </w:p>
    <w:p>
      <w:pPr>
        <w:spacing w:after="200"/>
      </w:pPr>
      <w:r>
        <w:t xml:space="preserve">In summary, Atlas Credit demonstrated solid performance during Q2 2025 with notable achievements in risk management while navigating challenges in talent retention. The strategic priorities for the coming quarter focus on improving user experience, supported by targeted investments in customer experience. Continued execution of the defined roadmap positions the project well for sustained value delivery.</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2026-02-05T08:24:46.382Z</dcterms:created>
  <dcterms:modified xsi:type="dcterms:W3CDTF">2026-02-05T08:24:46.383Z</dcterms:modified>
</cp:coreProperties>
</file>

<file path=docProps/custom.xml><?xml version="1.0" encoding="utf-8"?>
<Properties xmlns="http://schemas.openxmlformats.org/officeDocument/2006/custom-properties" xmlns:vt="http://schemas.openxmlformats.org/officeDocument/2006/docPropsVTypes"/>
</file>