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sz w:val="32"/>
          <w:szCs w:val="32"/>
        </w:rPr>
        <w:t xml:space="preserve">FinEdge Bank</w:t>
      </w:r>
    </w:p>
    <w:p>
      <w:pPr>
        <w:spacing w:after="400"/>
        <w:jc w:val="center"/>
      </w:pPr>
      <w:r>
        <w:rPr>
          <w:sz w:val="28"/>
          <w:szCs w:val="28"/>
        </w:rPr>
        <w:t xml:space="preserve">Security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Report ID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FEB-24Q3-0003</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Date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2024-07-17</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Quarter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Q3 2024</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Project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Phoenix Wallet</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Author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Siddharth</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Role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Finance Manager</w:t>
            </w:r>
          </w:p>
        </w:tc>
      </w:tr>
    </w:tbl>
    <w:p>
      <w:pPr>
        <w:spacing w:after="300"/>
      </w:pPr>
    </w:p>
    <w:p>
      <w:pPr>
        <w:pStyle w:val="Heading1"/>
        <w:spacing w:before="240" w:after="120"/>
      </w:pPr>
      <w:r>
        <w:rPr>
          <w:b/>
          <w:bCs/>
          <w:sz w:val="28"/>
          <w:szCs w:val="28"/>
        </w:rPr>
        <w:t xml:space="preserve">Executive Summary</w:t>
      </w:r>
    </w:p>
    <w:p>
      <w:pPr>
        <w:spacing w:after="200"/>
      </w:pPr>
      <w:r>
        <w:t xml:space="preserve">The present document serves as a detailed examination of Phoenix Wallet activities throughout Q3 2024. Our assessment covers critical performance indicators, identifies emerging challenges, and highlights opportunities for optimization and growth.</w:t>
      </w:r>
    </w:p>
    <w:p>
      <w:pPr>
        <w:pStyle w:val="Heading1"/>
        <w:spacing w:before="240" w:after="120"/>
      </w:pPr>
      <w:r>
        <w:rPr>
          <w:b/>
          <w:bCs/>
          <w:sz w:val="28"/>
          <w:szCs w:val="28"/>
        </w:rPr>
        <w:t xml:space="preserve">Key Performance Indicators</w:t>
      </w:r>
    </w:p>
    <w:p>
      <w:pPr>
        <w:spacing w:after="200"/>
      </w:pPr>
      <w:r>
        <w:rPr>
          <w:i/>
          <w:iCs/>
        </w:rPr>
        <w:t xml:space="preserve">Focus Areas: Regulatory Risk, Customer Churn, Approval Rate, Transaction Latency</w:t>
      </w:r>
    </w:p>
    <w:p>
      <w:pPr>
        <w:pStyle w:val="Heading2"/>
        <w:spacing w:before="180" w:after="100"/>
      </w:pPr>
      <w:r>
        <w:rPr>
          <w:b/>
          <w:bCs/>
          <w:sz w:val="24"/>
          <w:szCs w:val="24"/>
        </w:rPr>
        <w:t xml:space="preserve">KPI Analysis 1</w:t>
      </w:r>
    </w:p>
    <w:p>
      <w:pPr>
        <w:spacing w:after="200"/>
      </w:pPr>
      <w:r>
        <w:t xml:space="preserve">Customer churn analysis indicates a retention rate of 93.1%, with 286 customers discontinuing service during the reporting period. Primary churn drivers included pricing concerns, accounting for 22% of total attrition. Proactive retention initiatives managed to save approximately 22% of at-risk customers through targeted engagement and service improvements.</w:t>
      </w:r>
    </w:p>
    <w:p>
      <w:pPr>
        <w:pStyle w:val="Heading2"/>
        <w:spacing w:before="180" w:after="100"/>
      </w:pPr>
      <w:r>
        <w:rPr>
          <w:b/>
          <w:bCs/>
          <w:sz w:val="24"/>
          <w:szCs w:val="24"/>
        </w:rPr>
        <w:t xml:space="preserve">KPI Analysis 2</w:t>
      </w:r>
    </w:p>
    <w:p>
      <w:pPr>
        <w:spacing w:after="200"/>
      </w:pPr>
      <w:r>
        <w:t xml:space="preserve">Revenue generation for this period demonstrated positive momentum, with total realized revenue reaching $432.4M, representing a 11.1% increase compared to the previous quarter. This performance was primarily driven by operational efficiency, which contributed significantly to the overall financial outcome. The revenue trajectory indicates continued expansion, suggesting sustained momentum in market penetration and customer value realization.</w:t>
      </w:r>
    </w:p>
    <w:p>
      <w:pPr>
        <w:pStyle w:val="Heading2"/>
        <w:spacing w:before="180" w:after="100"/>
      </w:pPr>
      <w:r>
        <w:rPr>
          <w:b/>
          <w:bCs/>
          <w:sz w:val="24"/>
          <w:szCs w:val="24"/>
        </w:rPr>
        <w:t xml:space="preserve">KPI Analysis 3</w:t>
      </w:r>
    </w:p>
    <w:p>
      <w:pPr>
        <w:spacing w:after="200"/>
      </w:pPr>
      <w:r>
        <w:t xml:space="preserve">Credit approval rates achieved 0.12% during this quarter, processing a total of 18141 applications through automated and manual review channels. The approval criteria balanced risk appetite with growth objectives, resulting in a default rate of 1.59% among newly approved accounts. Underwriting efficiency improved by 11.1%, reducing average decision time to 5 hours.</w:t>
      </w:r>
    </w:p>
    <w:p>
      <w:pPr>
        <w:pStyle w:val="Heading2"/>
        <w:spacing w:before="180" w:after="100"/>
      </w:pPr>
      <w:r>
        <w:rPr>
          <w:b/>
          <w:bCs/>
          <w:sz w:val="24"/>
          <w:szCs w:val="24"/>
        </w:rPr>
        <w:t xml:space="preserve">KPI Analysis 4</w:t>
      </w:r>
    </w:p>
    <w:p>
      <w:pPr>
        <w:spacing w:after="200"/>
      </w:pPr>
      <w:r>
        <w:t xml:space="preserve">Infrastructure cost optimization initiatives yielded significant results, with total operational expenditure of $432.4M representing a 11.1% increase from forecast. Cloud resource optimization, improved capacity planning, and strategic vendor negotiations contributed to the cost efficiency gains. The cost-per-transaction metric improved to $0.047, supporting improved unit economics.</w:t>
      </w:r>
    </w:p>
    <w:p>
      <w:pPr>
        <w:pStyle w:val="Heading1"/>
        <w:spacing w:before="240" w:after="120"/>
      </w:pPr>
      <w:r>
        <w:rPr>
          <w:b/>
          <w:bCs/>
          <w:sz w:val="28"/>
          <w:szCs w:val="28"/>
        </w:rPr>
        <w:t xml:space="preserve">Challenges and Mitigation</w:t>
      </w:r>
    </w:p>
    <w:p>
      <w:pPr>
        <w:pStyle w:val="Heading2"/>
        <w:spacing w:before="180" w:after="100"/>
      </w:pPr>
      <w:r>
        <w:rPr>
          <w:b/>
          <w:bCs/>
          <w:sz w:val="24"/>
          <w:szCs w:val="24"/>
        </w:rPr>
        <w:t xml:space="preserve">Challenge 1</w:t>
      </w:r>
    </w:p>
    <w:p>
      <w:pPr>
        <w:spacing w:after="200"/>
      </w:pPr>
      <w:r>
        <w:t xml:space="preserve">Cybersecurity threat landscape evolution necessitated enhanced protective measures and incident response capabilities. Several attempted intrusions were successfully defended, but the increasing sophistication of attack vectors highlighted the need for continuous security posture improvements and proactive threat intelligence utilization.</w:t>
      </w:r>
    </w:p>
    <w:p>
      <w:pPr>
        <w:pStyle w:val="Heading2"/>
        <w:spacing w:before="180" w:after="100"/>
      </w:pPr>
      <w:r>
        <w:rPr>
          <w:b/>
          <w:bCs/>
          <w:sz w:val="24"/>
          <w:szCs w:val="24"/>
        </w:rPr>
        <w:t xml:space="preserve">Challenge 2</w:t>
      </w:r>
    </w:p>
    <w:p>
      <w:pPr>
        <w:spacing w:after="200"/>
      </w:pPr>
      <w:r>
        <w:t xml:space="preserve">Data quality issues in the customer information database created complications for analytics and reporting workflows. Approximately 22% of records required remediation due to incomplete or inconsistent data elements. A comprehensive data cleansing initiative was launched, establishing new validation protocols and improving upstream data capture mechanisms.</w:t>
      </w:r>
    </w:p>
    <w:p>
      <w:pPr>
        <w:pStyle w:val="Heading1"/>
        <w:spacing w:before="240" w:after="120"/>
      </w:pPr>
      <w:r>
        <w:rPr>
          <w:b/>
          <w:bCs/>
          <w:sz w:val="28"/>
          <w:szCs w:val="28"/>
        </w:rPr>
        <w:t xml:space="preserve">Key Achievements</w:t>
      </w:r>
    </w:p>
    <w:p>
      <w:pPr>
        <w:pStyle w:val="Heading2"/>
        <w:spacing w:before="180" w:after="100"/>
      </w:pPr>
      <w:r>
        <w:rPr>
          <w:b/>
          <w:bCs/>
          <w:sz w:val="24"/>
          <w:szCs w:val="24"/>
        </w:rPr>
        <w:t xml:space="preserve">Achievement 1</w:t>
      </w:r>
    </w:p>
    <w:p>
      <w:pPr>
        <w:spacing w:after="200"/>
      </w:pPr>
      <w:r>
        <w:t xml:space="preserve">Customer satisfaction scores reached an all-time high of 8.3 out of 10, reflecting successful execution of experience enhancement initiatives. Detailed survey feedback highlighted improvements in platform usability, support responsiveness, and feature completeness. The positive sentiment creates strong foundation for customer lifetime value expansion and referral generation.</w:t>
      </w:r>
    </w:p>
    <w:p>
      <w:pPr>
        <w:pStyle w:val="Heading2"/>
        <w:spacing w:before="180" w:after="100"/>
      </w:pPr>
      <w:r>
        <w:rPr>
          <w:b/>
          <w:bCs/>
          <w:sz w:val="24"/>
          <w:szCs w:val="24"/>
        </w:rPr>
        <w:t xml:space="preserve">Achievement 2</w:t>
      </w:r>
    </w:p>
    <w:p>
      <w:pPr>
        <w:spacing w:after="200"/>
      </w:pPr>
      <w:r>
        <w:t xml:space="preserve">Strategic partnership establishment with a leading technology provider unlocked new capabilities and market opportunities. The collaboration agreement enables access to advanced analytics tools and expands the addressable customer segment. Initial pilot programs demonstrated strong customer interest and validated the strategic value of the partnership arrangement.</w:t>
      </w:r>
    </w:p>
    <w:p>
      <w:pPr>
        <w:pStyle w:val="Heading1"/>
        <w:spacing w:before="240" w:after="120"/>
      </w:pPr>
      <w:r>
        <w:rPr>
          <w:b/>
          <w:bCs/>
          <w:sz w:val="28"/>
          <w:szCs w:val="28"/>
        </w:rPr>
        <w:t xml:space="preserve">Strategic Recommendations</w:t>
      </w:r>
    </w:p>
    <w:p>
      <w:pPr>
        <w:pStyle w:val="Heading2"/>
        <w:spacing w:before="180" w:after="100"/>
      </w:pPr>
      <w:r>
        <w:rPr>
          <w:b/>
          <w:bCs/>
          <w:sz w:val="24"/>
          <w:szCs w:val="24"/>
        </w:rPr>
        <w:t xml:space="preserve">Recommendation 1</w:t>
      </w:r>
    </w:p>
    <w:p>
      <w:pPr>
        <w:spacing w:after="200"/>
      </w:pPr>
      <w:r>
        <w:t xml:space="preserve">Enhance vendor management practices through improved contract structures, performance monitoring frameworks, and risk mitigation strategies. Current vendor dependency analysis revealed concentration risks that should be addressed through diversification and contractual safeguards. Implementation of vendor scorecards and regular business reviews will drive accountability.</w:t>
      </w:r>
    </w:p>
    <w:p>
      <w:pPr>
        <w:pStyle w:val="Heading2"/>
        <w:spacing w:before="180" w:after="100"/>
      </w:pPr>
      <w:r>
        <w:rPr>
          <w:b/>
          <w:bCs/>
          <w:sz w:val="24"/>
          <w:szCs w:val="24"/>
        </w:rPr>
        <w:t xml:space="preserve">Recommendation 2</w:t>
      </w:r>
    </w:p>
    <w:p>
      <w:pPr>
        <w:spacing w:after="200"/>
      </w:pPr>
      <w:r>
        <w:t xml:space="preserve">Optimize customer onboarding workflows to reduce friction and improve conversion rates. Current process analysis identified 8 opportunities for automation and simplification that could reduce average onboarding time by 22%. Improved onboarding experience will positively impact customer acquisition costs and lifetime value metrics.</w:t>
      </w:r>
    </w:p>
    <w:p>
      <w:pPr>
        <w:pStyle w:val="Heading1"/>
        <w:spacing w:before="240" w:after="120"/>
      </w:pPr>
      <w:r>
        <w:rPr>
          <w:b/>
          <w:bCs/>
          <w:sz w:val="28"/>
          <w:szCs w:val="28"/>
        </w:rPr>
        <w:t xml:space="preserve">Performance Metrics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Metric</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Value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Revenue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$432.4M</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Transaction Latency (ms)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73ms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Fraud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0.12%</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Customer Churn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6.9%</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Approval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67.6%</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Infrastructure Cost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$9.9M</w:t>
            </w:r>
          </w:p>
        </w:tc>
      </w:tr>
    </w:tbl>
    <w:p>
      <w:pPr>
        <w:pStyle w:val="Heading1"/>
        <w:spacing w:before="240" w:after="120"/>
      </w:pPr>
      <w:r>
        <w:rPr>
          <w:b/>
          <w:bCs/>
          <w:sz w:val="28"/>
          <w:szCs w:val="28"/>
        </w:rPr>
        <w:t xml:space="preserve">Conclusion</w:t>
      </w:r>
    </w:p>
    <w:p>
      <w:pPr>
        <w:spacing w:after="200"/>
      </w:pPr>
      <w:r>
        <w:t xml:space="preserve">The comprehensive analysis presented in this report indicates that Phoenix Wallet is on a positive trajectory toward achieving its strategic objectives. The combination of strong fundamental performance, proactive risk management, and continuous improvement initiatives creates foundation for long-term success. Ongoing monitoring of key metrics and adaptive strategy execution will ensure sustained momentum.</w:t>
      </w:r>
    </w:p>
    <w:p>
      <w:pPr>
        <w:spacing w:before="400"/>
      </w:pPr>
    </w:p>
    <w:p>
      <w:pPr>
        <w:spacing w:before="200"/>
        <w:jc w:val="center"/>
      </w:pPr>
      <w:r>
        <w:rPr>
          <w:i/>
          <w:iCs/>
        </w:rPr>
        <w:t xml:space="preserve">--- End of Report ---</w:t>
      </w:r>
    </w:p>
    <w:p>
      <w:pPr>
        <w:jc w:val="center"/>
      </w:pPr>
      <w:r>
        <w:rPr>
          <w:i/>
          <w:iCs/>
          <w:sz w:val="18"/>
          <w:szCs w:val="18"/>
        </w:rPr>
        <w:t xml:space="preserve">Confidential - FinEdge Bank Internal Use Only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sz w:val="32"/>
      <w:szCs w:val="32"/>
    </w:rPr>
  </w:style>
  <w:style w:type="paragraph" w:styleId="Heading2">
    <w:name w:val="Heading 2"/>
    <w:basedOn w:val="Normal"/>
    <w:next w:val="Normal"/>
    <w:qFormat/>
    <w:pPr>
      <w:spacing w:before="180" w:after="1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2026-02-05T08:24:44.715Z</dcterms:created>
  <dcterms:modified xsi:type="dcterms:W3CDTF">2026-02-05T08:24:44.715Z</dcterms:modified>
</cp:coreProperties>
</file>

<file path=docProps/custom.xml><?xml version="1.0" encoding="utf-8"?>
<Properties xmlns="http://schemas.openxmlformats.org/officeDocument/2006/custom-properties" xmlns:vt="http://schemas.openxmlformats.org/officeDocument/2006/docPropsVTypes"/>
</file>