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Strategic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FEB-24Q3-0012</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2024-08-20</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Q3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Atlas Credit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Rohit</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Lead</w:t>
            </w:r>
          </w:p>
        </w:tc>
      </w:tr>
    </w:tbl>
    <w:p>
      <w:pPr>
        <w:spacing w:after="300"/>
      </w:pPr>
    </w:p>
    <w:p>
      <w:pPr>
        <w:pStyle w:val="Heading1"/>
        <w:spacing w:before="240" w:after="120"/>
      </w:pPr>
      <w:r>
        <w:rPr>
          <w:b/>
          <w:bCs/>
          <w:sz w:val="28"/>
          <w:szCs w:val="28"/>
        </w:rPr>
        <w:t xml:space="preserve">Executive Summary</w:t>
      </w:r>
    </w:p>
    <w:p>
      <w:pPr>
        <w:spacing w:after="200"/>
      </w:pPr>
      <w:r>
        <w:t xml:space="preserve">This comprehensive report provides an in-depth analysis of Atlas Credit performance during Q3 2024. The evaluation encompasses multiple dimensions including operational efficiency, financial metrics, risk exposure, and strategic alignment with organizational objectives.</w:t>
      </w:r>
    </w:p>
    <w:p>
      <w:pPr>
        <w:pStyle w:val="Heading1"/>
        <w:spacing w:before="240" w:after="120"/>
      </w:pPr>
      <w:r>
        <w:rPr>
          <w:b/>
          <w:bCs/>
          <w:sz w:val="28"/>
          <w:szCs w:val="28"/>
        </w:rPr>
        <w:t xml:space="preserve">Key Performance Indicators</w:t>
      </w:r>
    </w:p>
    <w:p>
      <w:pPr>
        <w:spacing w:after="200"/>
      </w:pPr>
      <w:r>
        <w:rPr>
          <w:i/>
          <w:iCs/>
        </w:rPr>
        <w:t xml:space="preserve">Focus Areas: Regulatory Risk, Approval Rate, Customer Churn</w:t>
      </w:r>
    </w:p>
    <w:p>
      <w:pPr>
        <w:pStyle w:val="Heading2"/>
        <w:spacing w:before="180" w:after="100"/>
      </w:pPr>
      <w:r>
        <w:rPr>
          <w:b/>
          <w:bCs/>
          <w:sz w:val="24"/>
          <w:szCs w:val="24"/>
        </w:rPr>
        <w:t xml:space="preserve">KPI Analysis 1</w:t>
      </w:r>
    </w:p>
    <w:p>
      <w:pPr>
        <w:spacing w:after="200"/>
      </w:pPr>
      <w:r>
        <w:t xml:space="preserve">Infrastructure cost optimization initiatives yielded significant results, with total operational expenditure of $439.3M representing a 22.4% increase from forecast. Cloud resource optimization, improved capacity planning, and strategic vendor negotiations contributed to the cost efficiency gains. The cost-per-transaction metric improved to $0.038, supporting improved unit economics.</w:t>
      </w:r>
    </w:p>
    <w:p>
      <w:pPr>
        <w:pStyle w:val="Heading2"/>
        <w:spacing w:before="180" w:after="100"/>
      </w:pPr>
      <w:r>
        <w:rPr>
          <w:b/>
          <w:bCs/>
          <w:sz w:val="24"/>
          <w:szCs w:val="24"/>
        </w:rPr>
        <w:t xml:space="preserve">KPI Analysis 2</w:t>
      </w:r>
    </w:p>
    <w:p>
      <w:pPr>
        <w:spacing w:after="200"/>
      </w:pPr>
      <w:r>
        <w:t xml:space="preserve">Regulatory risk assessment identified 17 areas requiring enhanced monitoring and control frameworks. The compliance team successfully addressed 9 previously identified issues while implementing 5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3</w:t>
      </w:r>
    </w:p>
    <w:p>
      <w:pPr>
        <w:spacing w:after="200"/>
      </w:pPr>
      <w:r>
        <w:t xml:space="preserve">Fraud detection capabilities showed positive performance this quarter, with the overall fraud rate measuring 0.22% of total transaction volume. The fraud prevention systems successfully identified and blocked $2.8M in potentially fraudulent activities. Enhanced machine learning models contributed to a 22.4% improvement in detection accuracy while maintaining low false positive rates.</w:t>
      </w:r>
    </w:p>
    <w:p>
      <w:pPr>
        <w:pStyle w:val="Heading2"/>
        <w:spacing w:before="180" w:after="100"/>
      </w:pPr>
      <w:r>
        <w:rPr>
          <w:b/>
          <w:bCs/>
          <w:sz w:val="24"/>
          <w:szCs w:val="24"/>
        </w:rPr>
        <w:t xml:space="preserve">KPI Analysis 4</w:t>
      </w:r>
    </w:p>
    <w:p>
      <w:pPr>
        <w:spacing w:after="200"/>
      </w:pPr>
      <w:r>
        <w:t xml:space="preserve">Credit approval rates achieved 0.22% during this quarter, processing a total of 10162 applications through automated and manual review channels. The approval criteria balanced risk appetite with growth objectives, resulting in a default rate of 1.06% among newly approved accounts. Underwriting efficiency improved by 22.4%, reducing average decision time to 18 hours.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Cybersecurity threat landscape evolution necessitated enhanced protective measures and incident response capabilities. Several attempted intrusions were successfully defended, but the increasing sophistication of attack vectors highlighted the need for continuous security posture improvements and proactive threat intelligence utilization.</w:t>
      </w:r>
    </w:p>
    <w:p>
      <w:pPr>
        <w:pStyle w:val="Heading2"/>
        <w:spacing w:before="180" w:after="100"/>
      </w:pPr>
      <w:r>
        <w:rPr>
          <w:b/>
          <w:bCs/>
          <w:sz w:val="24"/>
          <w:szCs w:val="24"/>
        </w:rPr>
        <w:t xml:space="preserve">Challenge 2</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Regulatory compliance audit concluded with zero critical findings and commendations for control framework maturity and documentation quality. The compliance team's proactive approach to requirement interpretation and implementation established FinEdge Bank as an industry leader in governance practices. This outcome strengthens stakeholder confidence and competitive positioning.</w:t>
      </w:r>
    </w:p>
    <w:p>
      <w:pPr>
        <w:pStyle w:val="Heading2"/>
        <w:spacing w:before="180" w:after="100"/>
      </w:pPr>
      <w:r>
        <w:rPr>
          <w:b/>
          <w:bCs/>
          <w:sz w:val="24"/>
          <w:szCs w:val="24"/>
        </w:rPr>
        <w:t xml:space="preserve">Achievement 2</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11 months with projected annual savings of $439.3M upon full implementation.</w:t>
      </w:r>
    </w:p>
    <w:p>
      <w:pPr>
        <w:pStyle w:val="Heading2"/>
        <w:spacing w:before="180" w:after="100"/>
      </w:pPr>
      <w:r>
        <w:rPr>
          <w:b/>
          <w:bCs/>
          <w:sz w:val="24"/>
          <w:szCs w:val="24"/>
        </w:rPr>
        <w:t xml:space="preserve">Recommendation 2</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11 months with multiple value realization streams.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$439.3M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73.2%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$8.1M</w:t>
            </w:r>
          </w:p>
        </w:tc>
      </w:tr>
    </w:tbl>
    <w:p>
      <w:pPr>
        <w:pStyle w:val="Heading1"/>
        <w:spacing w:before="240" w:after="120"/>
      </w:pPr>
      <w:r>
        <w:rPr>
          <w:b/>
          <w:bCs/>
          <w:sz w:val="28"/>
          <w:szCs w:val="28"/>
        </w:rPr>
        <w:t xml:space="preserve">Conclusion</w:t>
      </w:r>
    </w:p>
    <w:p>
      <w:pPr>
        <w:spacing w:after="200"/>
      </w:pPr>
      <w:r>
        <w:t xml:space="preserve">The comprehensive analysis presented in this report indicates that Atlas Credit is on a positive trajectory toward achieving its strategic objectives. The combination of strong fundamental performance, proactive risk management, and continuous improvement initiatives creates foundation for long-term success. Ongoing monitoring of key metrics and adaptive strategy execution will ensure sustained momentum.</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2026-02-05T08:24:44.785Z</dcterms:created>
  <dcterms:modified xsi:type="dcterms:W3CDTF">2026-02-05T08:24:44.785Z</dcterms:modified>
</cp:coreProperties>
</file>

<file path=docProps/custom.xml><?xml version="1.0" encoding="utf-8"?>
<Properties xmlns="http://schemas.openxmlformats.org/officeDocument/2006/custom-properties" xmlns:vt="http://schemas.openxmlformats.org/officeDocument/2006/docPropsVTypes"/>
</file>