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FEB-24Q3-0015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2024-08-26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Orion Fraud throughout Q3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Approval Rate, Fraud Rate, Regulatory Risk</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$356.4M, representing a 5.5% growth compared to the previous quarter. This performance was primarily driven by market expansion,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Fraud detection capabilities showed moderate performance this quarter, with the overall fraud rate measuring 0.26% of total transaction volume. The fraud prevention systems successfully identified and blocked $3.7M in potentially fraudulent activities. Enhanced machine learning models contributed to a 5.5%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Customer churn analysis indicates a retention rate of 94.9%, with 583 customers discontinuing service during the reporting period. Primary churn drivers included pricing concerns, accounting for 50% of total attrition. Proactive retention initiatives managed to save approximately 50%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70ms across all payment channels, marking a 5.5% growth from prior benchmarks. The performance improvement can be attributed to algorithm improvements, which enhanced system throughput and reduced processing bottlenecks. Detailed analysis indicates that 50%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50%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7.8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New product launch exceeded initial adoption targets by 50%, with 12 customers onboarded in the first 10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12 opportunities for automation and simplification that could reduce average onboarding time by 50%.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15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$356.4M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$8.6M</w:t>
            </w:r>
          </w:p>
        </w:tc>
      </w:tr>
    </w:tbl>
    <w:p>
      <w:pPr>
        <w:pStyle w:val="Heading1"/>
        <w:spacing w:before="240" w:after="120"/>
      </w:pPr>
      <w:r>
        <w:rPr>
          <w:b/>
          <w:bCs/>
          <w:sz w:val="28"/>
          <w:szCs w:val="28"/>
        </w:rPr>
        <w:t xml:space="preserve">Conclusion</w:t>
      </w:r>
    </w:p>
    <w:p>
      <w:pPr>
        <w:spacing w:after="200"/>
      </w:pPr>
      <w:r>
        <w:t xml:space="preserve">In summary, Orion Fraud demonstrated solid performance during Q3 2024 with notable achievements in customer acquisition while navigating challenges in resource allocation. The strategic priorities for the coming quarter focus on optimizing costs,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2026-02-05T08:24:44.808Z</dcterms:created>
  <dcterms:modified xsi:type="dcterms:W3CDTF">2026-02-05T08:24:44.808Z</dcterms:modified>
</cp:coreProperties>
</file>

<file path=docProps/custom.xml><?xml version="1.0" encoding="utf-8"?>
<Properties xmlns="http://schemas.openxmlformats.org/officeDocument/2006/custom-properties" xmlns:vt="http://schemas.openxmlformats.org/officeDocument/2006/docPropsVTypes"/>
</file>