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FEB-24Q3-0019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2024-09-28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Phoenix Wallet outcomes achieved during Q3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Infra Cost, Regulatory Risk, Approval Rate, Customer Churn, Transaction Latency</w:t>
      </w:r>
    </w:p>
    <w:p>
      <w:pPr>
        <w:pStyle w:val="Heading2"/>
        <w:spacing w:before="180" w:after="100"/>
      </w:pPr>
      <w:r>
        <w:rPr>
          <w:b/>
          <w:bCs/>
          <w:sz w:val="24"/>
          <w:szCs w:val="24"/>
        </w:rPr>
        <w:t xml:space="preserve">KPI Analysis 1</w:t>
      </w:r>
    </w:p>
    <w:p>
      <w:pPr>
        <w:spacing w:after="200"/>
      </w:pPr>
      <w:r>
        <w:t xml:space="preserve">Revenue generation for this period demonstrated improving momentum, with total realized revenue reaching $439.4M, representing a 6.8% increase compared to the previous quarter. This performance was primarily driven by customer acquisition,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Customer churn analysis indicates a retention rate of 93.6%, with 474 customers discontinuing service during the reporting period. Primary churn drivers included pricing concerns, accounting for 47% of total attrition. Proactive retention initiatives managed to save approximately 47%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$439.4M representing a 6.8% increase from forecast. Cloud resource optimization, improved capacity planning, and strategic vendor negotiations contributed to the cost efficiency gains. The cost-per-transaction metric improved to $0.035, supporting improved unit economics.</w:t>
      </w:r>
    </w:p>
    <w:p>
      <w:pPr>
        <w:pStyle w:val="Heading2"/>
        <w:spacing w:before="180" w:after="100"/>
      </w:pPr>
      <w:r>
        <w:rPr>
          <w:b/>
          <w:bCs/>
          <w:sz w:val="24"/>
          <w:szCs w:val="24"/>
        </w:rPr>
        <w:t xml:space="preserve">KPI Analysis 4</w:t>
      </w:r>
    </w:p>
    <w:p>
      <w:pPr>
        <w:spacing w:after="200"/>
      </w:pPr>
      <w:r>
        <w:t xml:space="preserve">Regulatory risk assessment identified 6 areas requiring enhanced monitoring and control frameworks. The compliance team successfully addressed 3 previously identified issues while implementing 3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47%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8.8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Fraud detection algorithm refinements resulted in a 47% improvement in identification accuracy while reducing false positive rates by 47%.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6 opportunities for automation and simplification that could reduce average onboarding time by 47%.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8 months with projected annual savings of $439.4M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$439.4M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2026-02-05T08:24:44.838Z</dcterms:created>
  <dcterms:modified xsi:type="dcterms:W3CDTF">2026-02-05T08:24:44.838Z</dcterms:modified>
</cp:coreProperties>
</file>

<file path=docProps/custom.xml><?xml version="1.0" encoding="utf-8"?>
<Properties xmlns="http://schemas.openxmlformats.org/officeDocument/2006/custom-properties" xmlns:vt="http://schemas.openxmlformats.org/officeDocument/2006/docPropsVTypes"/>
</file>