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Infra Cost, Revenue, Fraud Rate, Transaction Latency</w:t>
      </w:r>
    </w:p>
    <w:p>
      <w:pPr>
        <w:pStyle w:val="Heading2"/>
        <w:spacing w:before="180" w:after="100"/>
      </w:pPr>
      <w:r>
        <w:rPr>
          <w:b/>
          <w:bCs/>
          <w:sz w:val="24"/>
          <w:szCs w:val="24"/>
        </w:rPr>
        <w:t xml:space="preserve">KPI Analysis 1</w:t>
      </w:r>
    </w:p>
    <w:p>
      <w:pPr>
        <w:spacing w:after="200"/>
      </w:pPr>
      <w:r>
        <w:t xml:space="preserve">Credit approval rates achieved 0.20% during this quarter, processing a total of 57549 applications through automated and manual review channels. The approval criteria balanced risk appetite with growth objectives, resulting in a default rate of 2.17% among newly approved accounts. Underwriting efficiency improved by 14.7%, reducing average decision time to 8 hours.</w:t>
      </w:r>
    </w:p>
    <w:p>
      <w:pPr>
        <w:pStyle w:val="Heading2"/>
        <w:spacing w:before="180" w:after="100"/>
      </w:pPr>
      <w:r>
        <w:rPr>
          <w:b/>
          <w:bCs/>
          <w:sz w:val="24"/>
          <w:szCs w:val="24"/>
        </w:rPr>
        <w:t xml:space="preserve">KPI Analysis 2</w:t>
      </w:r>
    </w:p>
    <w:p>
      <w:pPr>
        <w:spacing w:after="200"/>
      </w:pPr>
      <w:r>
        <w:t xml:space="preserve">Revenue generation for this period demonstrated positive momentum, with total realized revenue reaching $397.1M, representing a 14.7% increase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9 areas requiring enhanced monitoring and control frameworks. The compliance team successfully addressed 6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49ms across all payment channels, marking a 14.7% increase from prior benchmarks. The performance improvement can be attributed to caching strategies, which enhanced system throughput and reduced processing bottlenecks. Detailed analysis indicates that 25%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25%.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$397.1M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2026-02-05T08:24:44.875Z</dcterms:created>
  <dcterms:modified xsi:type="dcterms:W3CDTF">2026-02-05T08:24:44.875Z</dcterms:modified>
</cp:coreProperties>
</file>

<file path=docProps/custom.xml><?xml version="1.0" encoding="utf-8"?>
<Properties xmlns="http://schemas.openxmlformats.org/officeDocument/2006/custom-properties" xmlns:vt="http://schemas.openxmlformats.org/officeDocument/2006/docPropsVTypes"/>
</file>