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Market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FEB-24Q3-0027</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2024-09-06</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Q3 2024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Orion Fraud</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Rohit</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 Lead</w:t>
            </w:r>
          </w:p>
        </w:tc>
      </w:tr>
    </w:tbl>
    <w:p>
      <w:pPr>
        <w:spacing w:after="300"/>
      </w:pPr>
    </w:p>
    <w:p>
      <w:pPr>
        <w:pStyle w:val="Heading1"/>
        <w:spacing w:before="240" w:after="120"/>
      </w:pPr>
      <w:r>
        <w:rPr>
          <w:b/>
          <w:bCs/>
          <w:sz w:val="28"/>
          <w:szCs w:val="28"/>
        </w:rPr>
        <w:t xml:space="preserve">Executive Summary</w:t>
      </w:r>
    </w:p>
    <w:p>
      <w:pPr>
        <w:spacing w:after="200"/>
      </w:pPr>
      <w:r>
        <w:t xml:space="preserve">The following analysis presents a thorough evaluation of Orion Fraud operations for Q3 2024. This assessment incorporates quantitative metrics, qualitative insights, and forward-looking recommendations to support informed decision-making.</w:t>
      </w:r>
    </w:p>
    <w:p>
      <w:pPr>
        <w:pStyle w:val="Heading1"/>
        <w:spacing w:before="240" w:after="120"/>
      </w:pPr>
      <w:r>
        <w:rPr>
          <w:b/>
          <w:bCs/>
          <w:sz w:val="28"/>
          <w:szCs w:val="28"/>
        </w:rPr>
        <w:t xml:space="preserve">Key Performance Indicators</w:t>
      </w:r>
    </w:p>
    <w:p>
      <w:pPr>
        <w:spacing w:after="200"/>
      </w:pPr>
      <w:r>
        <w:rPr>
          <w:i/>
          <w:iCs/>
        </w:rPr>
        <w:t xml:space="preserve">Focus Areas: Approval Rate, Customer Churn, Regulatory Risk, Transaction Latency, Fraud Rate</w:t>
      </w:r>
    </w:p>
    <w:p>
      <w:pPr>
        <w:pStyle w:val="Heading2"/>
        <w:spacing w:before="180" w:after="100"/>
      </w:pPr>
      <w:r>
        <w:rPr>
          <w:b/>
          <w:bCs/>
          <w:sz w:val="24"/>
          <w:szCs w:val="24"/>
        </w:rPr>
        <w:t xml:space="preserve">KPI Analysis 1</w:t>
      </w:r>
    </w:p>
    <w:p>
      <w:pPr>
        <w:spacing w:after="200"/>
      </w:pPr>
      <w:r>
        <w:t xml:space="preserve">Revenue generation for this period demonstrated improving momentum, with total realized revenue reaching $442.4M, representing a 21.5% increase compared to the previous quarter. This performance was primarily driven by market expansion, which contributed significantly to the overall financial outcome. The revenue trajectory indicates sustainable growth, suggesting sustained momentum in market penetration and customer value realization.</w:t>
      </w:r>
    </w:p>
    <w:p>
      <w:pPr>
        <w:pStyle w:val="Heading2"/>
        <w:spacing w:before="180" w:after="100"/>
      </w:pPr>
      <w:r>
        <w:rPr>
          <w:b/>
          <w:bCs/>
          <w:sz w:val="24"/>
          <w:szCs w:val="24"/>
        </w:rPr>
        <w:t xml:space="preserve">KPI Analysis 2</w:t>
      </w:r>
    </w:p>
    <w:p>
      <w:pPr>
        <w:spacing w:after="200"/>
      </w:pPr>
      <w:r>
        <w:t xml:space="preserve">Credit approval rates achieved 0.39% during this quarter, processing a total of 16834 applications through automated and manual review channels. The approval criteria balanced risk appetite with growth objectives, resulting in a default rate of 0.67% among newly approved accounts. Underwriting efficiency improved by 21.5%, reducing average decision time to 12 hours.</w:t>
      </w:r>
    </w:p>
    <w:p>
      <w:pPr>
        <w:pStyle w:val="Heading2"/>
        <w:spacing w:before="180" w:after="100"/>
      </w:pPr>
      <w:r>
        <w:rPr>
          <w:b/>
          <w:bCs/>
          <w:sz w:val="24"/>
          <w:szCs w:val="24"/>
        </w:rPr>
        <w:t xml:space="preserve">KPI Analysis 3</w:t>
      </w:r>
    </w:p>
    <w:p>
      <w:pPr>
        <w:spacing w:after="200"/>
      </w:pPr>
      <w:r>
        <w:t xml:space="preserve">Regulatory risk assessment identified 15 areas requiring enhanced monitoring and control frameworks. The compliance team successfully addressed 7 previously identified issues while implementing 2 additional safeguards. All regulatory reporting obligations were met within prescribed deadlines, with zero material findings from external audits.</w:t>
      </w:r>
    </w:p>
    <w:p>
      <w:pPr>
        <w:pStyle w:val="Heading2"/>
        <w:spacing w:before="180" w:after="100"/>
      </w:pPr>
      <w:r>
        <w:rPr>
          <w:b/>
          <w:bCs/>
          <w:sz w:val="24"/>
          <w:szCs w:val="24"/>
        </w:rPr>
        <w:t xml:space="preserve">KPI Analysis 4</w:t>
      </w:r>
    </w:p>
    <w:p>
      <w:pPr>
        <w:spacing w:after="200"/>
      </w:pPr>
      <w:r>
        <w:t xml:space="preserve">Infrastructure cost optimization initiatives yielded significant results, with total operational expenditure of $442.4M representing a 21.5% increase from forecast. Cloud resource optimization, improved capacity planning, and strategic vendor negotiations contributed to the cost efficiency gains. The cost-per-transaction metric improved to $0.032, supporting improved unit economics.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Cybersecurity threat landscape evolution necessitated enhanced protective measures and incident response capabilities. Several attempted intrusions were successfully defended, but the increasing sophistication of attack vectors highlighted the need for continuous security posture improvements and proactive threat intelligence utilization.</w:t>
      </w:r>
    </w:p>
    <w:p>
      <w:pPr>
        <w:pStyle w:val="Heading2"/>
        <w:spacing w:before="180" w:after="100"/>
      </w:pPr>
      <w:r>
        <w:rPr>
          <w:b/>
          <w:bCs/>
          <w:sz w:val="24"/>
          <w:szCs w:val="24"/>
        </w:rPr>
        <w:t xml:space="preserve">Challenge 2</w:t>
      </w:r>
    </w:p>
    <w:p>
      <w:pPr>
        <w:spacing w:after="200"/>
      </w:pPr>
      <w:r>
        <w:t xml:space="preserve">Several operational challenges emerged during the quarter that required immediate attention and remediation. System scalability constraints became apparent during peak transaction periods, necessitating infrastructure upgrades and architectural refinements. The engineering team implemented emergency capacity enhancements while developing longer-term solutions to address underlying limitations.</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The project team successfully delivered a major platform upgrade that significantly enhanced system capabilities and user experience. The implementation was completed ahead of schedule and under budget, demonstrating exceptional project execution and stakeholder coordination. Post-deployment metrics indicated immediate positive impact on key performance indicators and user satisfaction scores.</w:t>
      </w:r>
    </w:p>
    <w:p>
      <w:pPr>
        <w:pStyle w:val="Heading2"/>
        <w:spacing w:before="180" w:after="100"/>
      </w:pPr>
      <w:r>
        <w:rPr>
          <w:b/>
          <w:bCs/>
          <w:sz w:val="24"/>
          <w:szCs w:val="24"/>
        </w:rPr>
        <w:t xml:space="preserve">Achievement 2</w:t>
      </w:r>
    </w:p>
    <w:p>
      <w:pPr>
        <w:spacing w:after="200"/>
      </w:pPr>
      <w:r>
        <w:t xml:space="preserve">Customer satisfaction scores reached an all-time high of 7.5 out of 10, reflecting successful execution of experience enhancement initiatives. Detailed survey feedback highlighted improvements in platform usability, support responsiveness, and feature completeness. The positive sentiment creates strong foundation for customer lifetime value expansion and referral generation.</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Accelerate cloud infrastructure migration to enhance scalability, reliability, and cost efficiency. The transition should prioritize customer-facing systems and adopt a phased approach that minimizes service disruption. Estimated completion timeline of 11 months with projected annual savings of $442.4M upon full implementation.</w:t>
      </w:r>
    </w:p>
    <w:p>
      <w:pPr>
        <w:pStyle w:val="Heading2"/>
        <w:spacing w:before="180" w:after="100"/>
      </w:pPr>
      <w:r>
        <w:rPr>
          <w:b/>
          <w:bCs/>
          <w:sz w:val="24"/>
          <w:szCs w:val="24"/>
        </w:rPr>
        <w:t xml:space="preserve">Recommendation 2</w:t>
      </w:r>
    </w:p>
    <w:p>
      <w:pPr>
        <w:spacing w:after="200"/>
      </w:pPr>
      <w:r>
        <w:t xml:space="preserve">Enhance vendor management practices through improved contract structures, performance monitoring frameworks, and risk mitigation strategies. Current vendor dependency analysis revealed concentration risks that should be addressed through diversification and contractual safeguards. Implementation of vendor scorecards and regular business reviews will drive accountability.</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$442.4M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56ms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0.39%</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4.2%</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83.9%</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$11.5M</w:t>
            </w:r>
          </w:p>
        </w:tc>
      </w:tr>
    </w:tbl>
    <w:p>
      <w:pPr>
        <w:pStyle w:val="Heading1"/>
        <w:spacing w:before="240" w:after="120"/>
      </w:pPr>
      <w:r>
        <w:rPr>
          <w:b/>
          <w:bCs/>
          <w:sz w:val="28"/>
          <w:szCs w:val="28"/>
        </w:rPr>
        <w:t xml:space="preserve">Conclusion</w:t>
      </w:r>
    </w:p>
    <w:p>
      <w:pPr>
        <w:spacing w:after="200"/>
      </w:pPr>
      <w:r>
        <w:t xml:space="preserve">In summary, Orion Fraud demonstrated solid performance during Q3 2024 with notable achievements in platform stability while navigating challenges in market competition. The strategic priorities for the coming quarter focus on strengthening security, supported by targeted investments in talent development. Continued execution of the defined roadmap positions the project well for sustained value delivery.</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2026-02-05T08:24:44.898Z</dcterms:created>
  <dcterms:modified xsi:type="dcterms:W3CDTF">2026-02-05T08:24:44.898Z</dcterms:modified>
</cp:coreProperties>
</file>

<file path=docProps/custom.xml><?xml version="1.0" encoding="utf-8"?>
<Properties xmlns="http://schemas.openxmlformats.org/officeDocument/2006/custom-properties" xmlns:vt="http://schemas.openxmlformats.org/officeDocument/2006/docPropsVTypes"/>
</file>