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FEB-24Q3-0032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2024-08-27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Neptune Payments performance during Q3 2024.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Regulatory Risk, Customer Churn, Revenue, Transaction Latency</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$423.4M representing a 6.0% improvement from forecast. Cloud resource optimization, improved capacity planning, and strategic vendor negotiations contributed to the cost efficiency gains. The cost-per-transaction metric improved to $0.021, supporting improved unit economics.</w:t>
      </w:r>
    </w:p>
    <w:p>
      <w:pPr>
        <w:pStyle w:val="Heading2"/>
        <w:spacing w:before="180" w:after="100"/>
      </w:pPr>
      <w:r>
        <w:rPr>
          <w:b/>
          <w:bCs/>
          <w:sz w:val="24"/>
          <w:szCs w:val="24"/>
        </w:rPr>
        <w:t xml:space="preserve">KPI Analysis 2</w:t>
      </w:r>
    </w:p>
    <w:p>
      <w:pPr>
        <w:spacing w:after="200"/>
      </w:pPr>
      <w:r>
        <w:t xml:space="preserve">Regulatory risk assessment identified 6 areas requiring enhanced monitoring and control frameworks. The compliance team successfully addressed 5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Customer churn analysis indicates a retention rate of 95.6%, with 332 customers discontinuing service during the reporting period. Primary churn drivers included pricing concerns, accounting for 22% of total attrition. Proactive retention initiatives managed to save approximately 22%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Fraud detection capabilities showed moderate performance this quarter, with the overall fraud rate measuring 0.13% of total transaction volume. The fraud prevention systems successfully identified and blocked $3.6M in potentially fraudulent activities. Enhanced machine learning models contributed to a 6.0%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12 months with projected annual savings of $423.4M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12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$423.4M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Neptune Payments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2026-02-05T08:24:44.937Z</dcterms:created>
  <dcterms:modified xsi:type="dcterms:W3CDTF">2026-02-05T08:24:44.937Z</dcterms:modified>
</cp:coreProperties>
</file>

<file path=docProps/custom.xml><?xml version="1.0" encoding="utf-8"?>
<Properties xmlns="http://schemas.openxmlformats.org/officeDocument/2006/custom-properties" xmlns:vt="http://schemas.openxmlformats.org/officeDocument/2006/docPropsVTypes"/>
</file>