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Technical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FEB-24Q3-0033</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2024-08-12</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Orion Fraud</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Rohit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Lead</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Orion Fraud outcomes achieved during Q3 2024.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Transaction Latency, Customer Churn, Fraud Rate, Revenue, Infra Cost</w:t>
      </w:r>
    </w:p>
    <w:p>
      <w:pPr>
        <w:pStyle w:val="Heading2"/>
        <w:spacing w:before="180" w:after="100"/>
      </w:pPr>
      <w:r>
        <w:rPr>
          <w:b/>
          <w:bCs/>
          <w:sz w:val="24"/>
          <w:szCs w:val="24"/>
        </w:rPr>
        <w:t xml:space="preserve">KPI Analysis 1</w:t>
      </w:r>
    </w:p>
    <w:p>
      <w:pPr>
        <w:spacing w:after="200"/>
      </w:pPr>
      <w:r>
        <w:t xml:space="preserve">Customer churn analysis indicates a retention rate of 93.9%, with 127 customers discontinuing service during the reporting period. Primary churn drivers included feature gaps, accounting for 21% of total attrition. Proactive retention initiatives managed to save approximately 21% of at-risk customers through targeted engagement and service improvements.</w:t>
      </w:r>
    </w:p>
    <w:p>
      <w:pPr>
        <w:pStyle w:val="Heading2"/>
        <w:spacing w:before="180" w:after="100"/>
      </w:pPr>
      <w:r>
        <w:rPr>
          <w:b/>
          <w:bCs/>
          <w:sz w:val="24"/>
          <w:szCs w:val="24"/>
        </w:rPr>
        <w:t xml:space="preserve">KPI Analysis 2</w:t>
      </w:r>
    </w:p>
    <w:p>
      <w:pPr>
        <w:spacing w:after="200"/>
      </w:pPr>
      <w:r>
        <w:t xml:space="preserve">Infrastructure cost optimization initiatives yielded significant results, with total operational expenditure of $378.9M representing a 8.1% growth from forecast. Cloud resource optimization, improved capacity planning, and strategic vendor negotiations contributed to the cost efficiency gains. The cost-per-transaction metric improved to $0.021, supporting improved unit economics.</w:t>
      </w:r>
    </w:p>
    <w:p>
      <w:pPr>
        <w:pStyle w:val="Heading2"/>
        <w:spacing w:before="180" w:after="100"/>
      </w:pPr>
      <w:r>
        <w:rPr>
          <w:b/>
          <w:bCs/>
          <w:sz w:val="24"/>
          <w:szCs w:val="24"/>
        </w:rPr>
        <w:t xml:space="preserve">KPI Analysis 3</w:t>
      </w:r>
    </w:p>
    <w:p>
      <w:pPr>
        <w:spacing w:after="200"/>
      </w:pPr>
      <w:r>
        <w:t xml:space="preserve">Regulatory risk assessment identified 7 areas requiring enhanced monitoring and control frameworks. The compliance team successfully addressed 5 previously identified issues while implementing 4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4</w:t>
      </w:r>
    </w:p>
    <w:p>
      <w:pPr>
        <w:spacing w:after="200"/>
      </w:pPr>
      <w:r>
        <w:t xml:space="preserve">Revenue generation for this period demonstrated moderate momentum, with total realized revenue reaching $378.9M, representing a 8.1% growth compared to the previous quarter. This performance was primarily driven by pricing optimization, which contributed significantly to the overall financial outcome. The revenue trajectory indicates continued expansion, suggesting sustained momentum in market penetration and customer value realization.</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Talent acquisition difficulties in specialized technical domains constrained project velocity and delayed certain strategic initiatives. The highly competitive labor market for experienced professionals in fraud detection and machine learning required adjusted recruitment strategies and enhanced retention programs to maintain team capability and continuity.</w:t>
      </w:r>
    </w:p>
    <w:p>
      <w:pPr>
        <w:pStyle w:val="Heading2"/>
        <w:spacing w:before="180" w:after="100"/>
      </w:pPr>
      <w:r>
        <w:rPr>
          <w:b/>
          <w:bCs/>
          <w:sz w:val="24"/>
          <w:szCs w:val="24"/>
        </w:rPr>
        <w:t xml:space="preserve">Challenge 2</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7 months with multiple value realization streams.</w:t>
      </w:r>
    </w:p>
    <w:p>
      <w:pPr>
        <w:pStyle w:val="Heading2"/>
        <w:spacing w:before="180" w:after="100"/>
      </w:pPr>
      <w:r>
        <w:rPr>
          <w:b/>
          <w:bCs/>
          <w:sz w:val="24"/>
          <w:szCs w:val="24"/>
        </w:rPr>
        <w:t xml:space="preserve">Recommendation 2</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$378.9M with focus on technical and leadership capability development.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$378.9M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61ms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74.8%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$8.2M</w:t>
            </w:r>
          </w:p>
        </w:tc>
      </w:tr>
    </w:tbl>
    <w:p>
      <w:pPr>
        <w:pStyle w:val="Heading1"/>
        <w:spacing w:before="240" w:after="120"/>
      </w:pPr>
      <w:r>
        <w:rPr>
          <w:b/>
          <w:bCs/>
          <w:sz w:val="28"/>
          <w:szCs w:val="28"/>
        </w:rPr>
        <w:t xml:space="preserve">Conclusion</w:t>
      </w:r>
    </w:p>
    <w:p>
      <w:pPr>
        <w:spacing w:after="200"/>
      </w:pPr>
      <w:r>
        <w:t xml:space="preserve">The findings and recommendations outlined in this report provide actionable insights for stakeholders across the organization. Implementation of the proposed initiatives will require coordinated effort and sustained focus, but the potential value creation justifies the required investment. Regular progress tracking and course correction mechanisms will ensure achievement of desired outcomes.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2026-02-05T08:24:44.944Z</dcterms:created>
  <dcterms:modified xsi:type="dcterms:W3CDTF">2026-02-05T08:24:44.944Z</dcterms:modified>
</cp:coreProperties>
</file>

<file path=docProps/custom.xml><?xml version="1.0" encoding="utf-8"?>
<Properties xmlns="http://schemas.openxmlformats.org/officeDocument/2006/custom-properties" xmlns:vt="http://schemas.openxmlformats.org/officeDocument/2006/docPropsVTypes"/>
</file>