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Strategic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FEB-24Q3-0034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2024-08-01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Orion Fraud operations for Q3 2024.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Customer Churn, Transaction Latency, Approval Rate, Fraud Rate</w:t>
      </w:r>
    </w:p>
    <w:p>
      <w:pPr>
        <w:pStyle w:val="Heading2"/>
        <w:spacing w:before="180" w:after="100"/>
      </w:pPr>
      <w:r>
        <w:rPr>
          <w:b/>
          <w:bCs/>
          <w:sz w:val="24"/>
          <w:szCs w:val="24"/>
        </w:rPr>
        <w:t xml:space="preserve">KPI Analysis 1</w:t>
      </w:r>
    </w:p>
    <w:p>
      <w:pPr>
        <w:spacing w:after="200"/>
      </w:pPr>
      <w:r>
        <w:t xml:space="preserve">Revenue generation for this period demonstrated improving momentum, with total realized revenue reaching $418.7M, representing a 24.9% increase compared to the previous quarter. This performance was primarily driven by product enhancements,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Credit approval rates achieved 0.21% during this quarter, processing a total of 52479 applications through automated and manual review channels. The approval criteria balanced risk appetite with growth objectives, resulting in a default rate of 1.87% among newly approved accounts. Underwriting efficiency improved by 24.9%, reducing average decision time to 26 hours.</w:t>
      </w:r>
    </w:p>
    <w:p>
      <w:pPr>
        <w:pStyle w:val="Heading2"/>
        <w:spacing w:before="180" w:after="100"/>
      </w:pPr>
      <w:r>
        <w:rPr>
          <w:b/>
          <w:bCs/>
          <w:sz w:val="24"/>
          <w:szCs w:val="24"/>
        </w:rPr>
        <w:t xml:space="preserve">KPI Analysis 3</w:t>
      </w:r>
    </w:p>
    <w:p>
      <w:pPr>
        <w:spacing w:after="200"/>
      </w:pPr>
      <w:r>
        <w:t xml:space="preserve">Transaction latency metrics revealed an average response time of 51ms across all payment channels, marking a 24.9% increase from prior benchmarks. The performance improvement can be attributed to caching strategies, which enhanced system throughput and reduced processing bottlenecks. Detailed analysis indicates that 35% of transactions completed within the target SLA threshold.</w:t>
      </w:r>
    </w:p>
    <w:p>
      <w:pPr>
        <w:pStyle w:val="Heading2"/>
        <w:spacing w:before="180" w:after="100"/>
      </w:pPr>
      <w:r>
        <w:rPr>
          <w:b/>
          <w:bCs/>
          <w:sz w:val="24"/>
          <w:szCs w:val="24"/>
        </w:rPr>
        <w:t xml:space="preserve">KPI Analysis 4</w:t>
      </w:r>
    </w:p>
    <w:p>
      <w:pPr>
        <w:spacing w:after="200"/>
      </w:pPr>
      <w:r>
        <w:t xml:space="preserve">Fraud detection capabilities showed improving performance this quarter, with the overall fraud rate measuring 0.21% of total transaction volume. The fraud prevention systems successfully identified and blocked $5.6M in potentially fraudulent activities. Enhanced machine learning models contributed to a 24.9%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35%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$418.7M annually to maintain appropriate security maturity level.</w:t>
      </w:r>
    </w:p>
    <w:p>
      <w:pPr>
        <w:pStyle w:val="Heading2"/>
        <w:spacing w:before="180" w:after="100"/>
      </w:pPr>
      <w:r>
        <w:rPr>
          <w:b/>
          <w:bCs/>
          <w:sz w:val="24"/>
          <w:szCs w:val="24"/>
        </w:rPr>
        <w:t xml:space="preserve">Recommendation 2</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$418.7M with focus on technical and leadership capability development.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$418.7M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51ms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$9.2M</w:t>
            </w:r>
          </w:p>
        </w:tc>
      </w:tr>
    </w:tbl>
    <w:p>
      <w:pPr>
        <w:pStyle w:val="Heading1"/>
        <w:spacing w:before="240" w:after="120"/>
      </w:pPr>
      <w:r>
        <w:rPr>
          <w:b/>
          <w:bCs/>
          <w:sz w:val="28"/>
          <w:szCs w:val="28"/>
        </w:rPr>
        <w:t xml:space="preserve">Conclusion</w:t>
      </w:r>
    </w:p>
    <w:p>
      <w:pPr>
        <w:spacing w:after="200"/>
      </w:pPr>
      <w:r>
        <w:t xml:space="preserve">In summary, Orion Fraud demonstrated solid performance during Q3 2024 with notable achievements in risk management while navigating challenges in talent retention. The strategic priorities for the coming quarter focus on strengthening security, supported by targeted investments in talent development.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2026-02-05T08:24:44.952Z</dcterms:created>
  <dcterms:modified xsi:type="dcterms:W3CDTF">2026-02-05T08:24:44.952Z</dcterms:modified>
</cp:coreProperties>
</file>

<file path=docProps/custom.xml><?xml version="1.0" encoding="utf-8"?>
<Properties xmlns="http://schemas.openxmlformats.org/officeDocument/2006/custom-properties" xmlns:vt="http://schemas.openxmlformats.org/officeDocument/2006/docPropsVTypes"/>
</file>