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Market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FEB-24Q3-0042</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2024-08-21</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Siddharth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 Manager</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Zenith Risk activities throughout Q3 2024.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Transaction Latency, Customer Churn, Regulatory Risk, Infra Cost, Revenue</w:t>
      </w:r>
    </w:p>
    <w:p>
      <w:pPr>
        <w:pStyle w:val="Heading2"/>
        <w:spacing w:before="180" w:after="100"/>
      </w:pPr>
      <w:r>
        <w:rPr>
          <w:b/>
          <w:bCs/>
          <w:sz w:val="24"/>
          <w:szCs w:val="24"/>
        </w:rPr>
        <w:t xml:space="preserve">KPI Analysis 1</w:t>
      </w:r>
    </w:p>
    <w:p>
      <w:pPr>
        <w:spacing w:after="200"/>
      </w:pPr>
      <w:r>
        <w:t xml:space="preserve">Regulatory risk assessment identified 19 areas requiring enhanced monitoring and control frameworks. The compliance team successfully addressed 8 previously identified issues while implementing 5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2</w:t>
      </w:r>
    </w:p>
    <w:p>
      <w:pPr>
        <w:spacing w:after="200"/>
      </w:pPr>
      <w:r>
        <w:t xml:space="preserve">Credit approval rates achieved 0.25% during this quarter, processing a total of 53378 applications through automated and manual review channels. The approval criteria balanced risk appetite with growth objectives, resulting in a default rate of 0.61% among newly approved accounts. Underwriting efficiency improved by 11.6%, reducing average decision time to 26 hours.</w:t>
      </w:r>
    </w:p>
    <w:p>
      <w:pPr>
        <w:pStyle w:val="Heading2"/>
        <w:spacing w:before="180" w:after="100"/>
      </w:pPr>
      <w:r>
        <w:rPr>
          <w:b/>
          <w:bCs/>
          <w:sz w:val="24"/>
          <w:szCs w:val="24"/>
        </w:rPr>
        <w:t xml:space="preserve">KPI Analysis 3</w:t>
      </w:r>
    </w:p>
    <w:p>
      <w:pPr>
        <w:spacing w:after="200"/>
      </w:pPr>
      <w:r>
        <w:t xml:space="preserve">Revenue generation for this period demonstrated moderate momentum, with total realized revenue reaching $383.9M, representing a 11.6% increase compared to the previous quarter. This performance was primarily driven by operational efficiency, which contributed significantly to the overall financial outcome. The revenue trajectory indicates sustainable growth, suggesting sustained momentum in market penetration and customer value realization.</w:t>
      </w:r>
    </w:p>
    <w:p>
      <w:pPr>
        <w:pStyle w:val="Heading2"/>
        <w:spacing w:before="180" w:after="100"/>
      </w:pPr>
      <w:r>
        <w:rPr>
          <w:b/>
          <w:bCs/>
          <w:sz w:val="24"/>
          <w:szCs w:val="24"/>
        </w:rPr>
        <w:t xml:space="preserve">KPI Analysis 4</w:t>
      </w:r>
    </w:p>
    <w:p>
      <w:pPr>
        <w:spacing w:after="200"/>
      </w:pPr>
      <w:r>
        <w:t xml:space="preserve">Infrastructure cost optimization initiatives yielded significant results, with total operational expenditure of $383.9M representing a 11.6% increase from forecast. Cloud resource optimization, improved capacity planning, and strategic vendor negotiations contributed to the cost efficiency gains. The cost-per-transaction metric improved to $0.058, supporting improved unit economics.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26%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2"/>
        <w:spacing w:before="180" w:after="100"/>
      </w:pPr>
      <w:r>
        <w:rPr>
          <w:b/>
          <w:bCs/>
          <w:sz w:val="24"/>
          <w:szCs w:val="24"/>
        </w:rPr>
        <w:t xml:space="preserve">Achievement 2</w:t>
      </w:r>
    </w:p>
    <w:p>
      <w:pPr>
        <w:spacing w:after="200"/>
      </w:pPr>
      <w:r>
        <w:t xml:space="preserve">Fraud detection algorithm refinements resulted in a 26% improvement in identification accuracy while reducing false positive rates by 26%.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12 months with multiple value realization streams.</w:t>
      </w:r>
    </w:p>
    <w:p>
      <w:pPr>
        <w:pStyle w:val="Heading2"/>
        <w:spacing w:before="180" w:after="100"/>
      </w:pPr>
      <w:r>
        <w:rPr>
          <w:b/>
          <w:bCs/>
          <w:sz w:val="24"/>
          <w:szCs w:val="24"/>
        </w:rPr>
        <w:t xml:space="preserve">Recommendation 2</w:t>
      </w:r>
    </w:p>
    <w:p>
      <w:pPr>
        <w:spacing w:after="200"/>
      </w:pPr>
      <w:r>
        <w:t xml:space="preserve">Optimize customer onboarding workflows to reduce friction and improve conversion rates. Current process analysis identified 19 opportunities for automation and simplification that could reduce average onboarding time by 26%. Improved onboarding experience will positively impact customer acquisition costs and lifetime value metrics.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$383.9M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67.0%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$10.0M</w:t>
            </w:r>
          </w:p>
        </w:tc>
      </w:tr>
    </w:tbl>
    <w:p>
      <w:pPr>
        <w:pStyle w:val="Heading1"/>
        <w:spacing w:before="240" w:after="120"/>
      </w:pPr>
      <w:r>
        <w:rPr>
          <w:b/>
          <w:bCs/>
          <w:sz w:val="28"/>
          <w:szCs w:val="28"/>
        </w:rPr>
        <w:t xml:space="preserve">Conclusion</w:t>
      </w:r>
    </w:p>
    <w:p>
      <w:pPr>
        <w:spacing w:after="200"/>
      </w:pPr>
      <w:r>
        <w:t xml:space="preserve">In summary, Zenith Risk demonstrated solid performance during Q3 2024 with notable achievements in operational efficiency while navigating challenges in talent retention. The strategic priorities for the coming quarter focus on expanding capabilities, supported by targeted investments in infrastructure.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2026-02-05T08:24:45.032Z</dcterms:created>
  <dcterms:modified xsi:type="dcterms:W3CDTF">2026-02-05T08:24:45.032Z</dcterms:modified>
</cp:coreProperties>
</file>

<file path=docProps/custom.xml><?xml version="1.0" encoding="utf-8"?>
<Properties xmlns="http://schemas.openxmlformats.org/officeDocument/2006/custom-properties" xmlns:vt="http://schemas.openxmlformats.org/officeDocument/2006/docPropsVTypes"/>
</file>