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FEB-24Q3-0046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2024-09-23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Neptune Payments throughout Q3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Revenue, Infra Cost, Fraud Rate, Regulatory Risk, Transaction Latency</w:t>
      </w:r>
    </w:p>
    <w:p>
      <w:pPr>
        <w:pStyle w:val="Heading2"/>
        <w:spacing w:before="180" w:after="100"/>
      </w:pPr>
      <w:r>
        <w:rPr>
          <w:b/>
          <w:bCs/>
          <w:sz w:val="24"/>
          <w:szCs w:val="24"/>
        </w:rPr>
        <w:t xml:space="preserve">KPI Analysis 1</w:t>
      </w:r>
    </w:p>
    <w:p>
      <w:pPr>
        <w:spacing w:after="200"/>
      </w:pPr>
      <w:r>
        <w:t xml:space="preserve">Customer churn analysis indicates a retention rate of 94.9%, with 555 customers discontinuing service during the reporting period. Primary churn drivers included service issues, accounting for 28% of total attrition. Proactive retention initiatives managed to save approximately 28%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Revenue generation for this period demonstrated strong momentum, with total realized revenue reaching $363.1M, representing a 18.8% improvement compared to the previous quarter. This performance was primarily driven by product enhancements,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Credit approval rates achieved 0.28% during this quarter, processing a total of 20384 applications through automated and manual review channels. The approval criteria balanced risk appetite with growth objectives, resulting in a default rate of 1.67% among newly approved accounts. Underwriting efficiency improved by 18.8%, reducing average decision time to 19 hours.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66ms across all payment channels, marking a 18.8% improvement from prior benchmarks. The performance improvement can be attributed to caching strategies, which enhanced system throughput and reduced processing bottlenecks. Detailed analysis indicates that 28%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Customer satisfaction scores reached an all-time high of 7.7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13 months with projected annual savings of $363.1M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13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$363.1M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$9.9M</w:t>
            </w:r>
          </w:p>
        </w:tc>
      </w:tr>
    </w:tbl>
    <w:p>
      <w:pPr>
        <w:pStyle w:val="Heading1"/>
        <w:spacing w:before="240" w:after="120"/>
      </w:pPr>
      <w:r>
        <w:rPr>
          <w:b/>
          <w:bCs/>
          <w:sz w:val="28"/>
          <w:szCs w:val="28"/>
        </w:rPr>
        <w:t xml:space="preserve">Conclusion</w:t>
      </w:r>
    </w:p>
    <w:p>
      <w:pPr>
        <w:spacing w:after="200"/>
      </w:pPr>
      <w:r>
        <w:t xml:space="preserve">In summary, Neptune Payments demonstrated solid performance during Q3 2024 with notable achievements in operational efficiency while navigating challenges in technical debt. The strategic priorities for the coming quarter focus on strengthening security, supported by targeted investments in customer experience.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2026-02-05T08:24:45.061Z</dcterms:created>
  <dcterms:modified xsi:type="dcterms:W3CDTF">2026-02-05T08:24:45.061Z</dcterms:modified>
</cp:coreProperties>
</file>

<file path=docProps/custom.xml><?xml version="1.0" encoding="utf-8"?>
<Properties xmlns="http://schemas.openxmlformats.org/officeDocument/2006/custom-properties" xmlns:vt="http://schemas.openxmlformats.org/officeDocument/2006/docPropsVTypes"/>
</file>