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Customer Churn, Infra Cost, Fraud Rate</w:t>
      </w:r>
    </w:p>
    <w:p>
      <w:pPr>
        <w:pStyle w:val="Heading2"/>
        <w:spacing w:before="180" w:after="100"/>
      </w:pPr>
      <w:r>
        <w:rPr>
          <w:b/>
          <w:bCs/>
          <w:sz w:val="24"/>
          <w:szCs w:val="24"/>
        </w:rPr>
        <w:t xml:space="preserve">KPI Analysis 1</w:t>
      </w:r>
    </w:p>
    <w:p>
      <w:pPr>
        <w:spacing w:after="200"/>
      </w:pPr>
      <w:r>
        <w:t xml:space="preserve">Regulatory risk assessment identified 8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$409.0M, representing a 23.3%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0.11% during this quarter, processing a total of 37532 applications through automated and manual review channels. The approval criteria balanced risk appetite with growth objectives, resulting in a default rate of 1.54% among newly approved accounts. Underwriting efficiency improved by 23.3%, reducing average decision time to 20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23.3% improvement from prior benchmarks. The performance improvement can be attributed to algorithm improvements, which enhanced system throughput and reduced processing bottlenecks. Detailed analysis indicates that 17%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17%, with 8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$409.0M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$409.0M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2026-02-05T08:24:45.075Z</dcterms:created>
  <dcterms:modified xsi:type="dcterms:W3CDTF">2026-02-05T08:24:45.075Z</dcterms:modified>
</cp:coreProperties>
</file>

<file path=docProps/custom.xml><?xml version="1.0" encoding="utf-8"?>
<Properties xmlns="http://schemas.openxmlformats.org/officeDocument/2006/custom-properties" xmlns:vt="http://schemas.openxmlformats.org/officeDocument/2006/docPropsVTypes"/>
</file>