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FEB-24Q3-0050</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2024-07-09</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Neptune Payments activities throughout Q3 2024.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Regulatory Risk, Revenue, Fraud Rate</w:t>
      </w:r>
    </w:p>
    <w:p>
      <w:pPr>
        <w:pStyle w:val="Heading2"/>
        <w:spacing w:before="180" w:after="100"/>
      </w:pPr>
      <w:r>
        <w:rPr>
          <w:b/>
          <w:bCs/>
          <w:sz w:val="24"/>
          <w:szCs w:val="24"/>
        </w:rPr>
        <w:t xml:space="preserve">KPI Analysis 1</w:t>
      </w:r>
    </w:p>
    <w:p>
      <w:pPr>
        <w:spacing w:after="200"/>
      </w:pPr>
      <w:r>
        <w:t xml:space="preserve">Credit approval rates achieved 0.31% during this quarter, processing a total of 19139 applications through automated and manual review channels. The approval criteria balanced risk appetite with growth objectives, resulting in a default rate of 1.82% among newly approved accounts. Underwriting efficiency improved by 8.5%, reducing average decision time to 9 hours.</w:t>
      </w:r>
    </w:p>
    <w:p>
      <w:pPr>
        <w:pStyle w:val="Heading2"/>
        <w:spacing w:before="180" w:after="100"/>
      </w:pPr>
      <w:r>
        <w:rPr>
          <w:b/>
          <w:bCs/>
          <w:sz w:val="24"/>
          <w:szCs w:val="24"/>
        </w:rPr>
        <w:t xml:space="preserve">KPI Analysis 2</w:t>
      </w:r>
    </w:p>
    <w:p>
      <w:pPr>
        <w:spacing w:after="200"/>
      </w:pPr>
      <w:r>
        <w:t xml:space="preserve">Customer churn analysis indicates a retention rate of 93.6%, with 232 customers discontinuing service during the reporting period. Primary churn drivers included support quality, accounting for 31% of total attrition. Proactive retention initiatives managed to save approximately 31%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Infrastructure cost optimization initiatives yielded significant results, with total operational expenditure of $393.7M representing a 8.5% increase from forecast. Cloud resource optimization, improved capacity planning, and strategic vendor negotiations contributed to the cost efficiency gains. The cost-per-transaction metric improved to $0.043, supporting improved unit economics.</w:t>
      </w:r>
    </w:p>
    <w:p>
      <w:pPr>
        <w:pStyle w:val="Heading2"/>
        <w:spacing w:before="180" w:after="100"/>
      </w:pPr>
      <w:r>
        <w:rPr>
          <w:b/>
          <w:bCs/>
          <w:sz w:val="24"/>
          <w:szCs w:val="24"/>
        </w:rPr>
        <w:t xml:space="preserve">KPI Analysis 4</w:t>
      </w:r>
    </w:p>
    <w:p>
      <w:pPr>
        <w:spacing w:after="200"/>
      </w:pPr>
      <w:r>
        <w:t xml:space="preserve">Fraud detection capabilities showed moderate performance this quarter, with the overall fraud rate measuring 0.31% of total transaction volume. The fraud prevention systems successfully identified and blocked $5.6M in potentially fraudulent activities. Enhanced machine learning models contributed to a 8.5%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Fraud detection algorithm refinements resulted in a 31% improvement in identification accuracy while reducing false positive rates by 31%.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2"/>
        <w:spacing w:before="180" w:after="100"/>
      </w:pPr>
      <w:r>
        <w:rPr>
          <w:b/>
          <w:bCs/>
          <w:sz w:val="24"/>
          <w:szCs w:val="24"/>
        </w:rPr>
        <w:t xml:space="preserve">Achievement 2</w:t>
      </w:r>
    </w:p>
    <w:p>
      <w:pPr>
        <w:spacing w:after="200"/>
      </w:pPr>
      <w:r>
        <w:t xml:space="preserve">New product launch exceeded initial adoption targets by 31%, with 13 customers onboarded in the first 13 days. The go-to-market strategy successfully addressed customer pain points and differentiated the offering from competitive alternatives. Early usage patterns and feedback provide strong indicators for sustained growth trajectory.</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$393.7M with focus on technical and leadership capability development.</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17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$393.7M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63ms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76.0%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$10.2M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Neptune Payments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2026-02-05T08:24:45.090Z</dcterms:created>
  <dcterms:modified xsi:type="dcterms:W3CDTF">2026-02-05T08:24:45.090Z</dcterms:modified>
</cp:coreProperties>
</file>

<file path=docProps/custom.xml><?xml version="1.0" encoding="utf-8"?>
<Properties xmlns="http://schemas.openxmlformats.org/officeDocument/2006/custom-properties" xmlns:vt="http://schemas.openxmlformats.org/officeDocument/2006/docPropsVTypes"/>
</file>