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FEB-25Q3-0012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2025-09-22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Atlas Credit operations for Q3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Fraud Rate, Transaction Latency, Approval Rate, Regulatory Risk</w:t>
      </w:r>
    </w:p>
    <w:p>
      <w:pPr>
        <w:pStyle w:val="Heading2"/>
        <w:spacing w:before="180" w:after="100"/>
      </w:pPr>
      <w:r>
        <w:rPr>
          <w:b/>
          <w:bCs/>
          <w:sz w:val="24"/>
          <w:szCs w:val="24"/>
        </w:rPr>
        <w:t xml:space="preserve">KPI Analysis 1</w:t>
      </w:r>
    </w:p>
    <w:p>
      <w:pPr>
        <w:spacing w:after="200"/>
      </w:pPr>
      <w:r>
        <w:t xml:space="preserve">Regulatory risk assessment identified 13 areas requiring enhanced monitoring and control frameworks. The compliance team successfully addressed 10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$772.8M representing a 13.9% growth from forecast. Cloud resource optimization, improved capacity planning, and strategic vendor negotiations contributed to the cost efficiency gains. The cost-per-transaction metric improved to $0.029, supporting improved unit economics.</w:t>
      </w:r>
    </w:p>
    <w:p>
      <w:pPr>
        <w:pStyle w:val="Heading2"/>
        <w:spacing w:before="180" w:after="100"/>
      </w:pPr>
      <w:r>
        <w:rPr>
          <w:b/>
          <w:bCs/>
          <w:sz w:val="24"/>
          <w:szCs w:val="24"/>
        </w:rPr>
        <w:t xml:space="preserve">KPI Analysis 3</w:t>
      </w:r>
    </w:p>
    <w:p>
      <w:pPr>
        <w:spacing w:after="200"/>
      </w:pPr>
      <w:r>
        <w:t xml:space="preserve">Credit approval rates achieved 0.39% during this quarter, processing a total of 30856 applications through automated and manual review channels. The approval criteria balanced risk appetite with growth objectives, resulting in a default rate of 2.34% among newly approved accounts. Underwriting efficiency improved by 13.9%, reducing average decision time to 18 hours.</w:t>
      </w:r>
    </w:p>
    <w:p>
      <w:pPr>
        <w:pStyle w:val="Heading2"/>
        <w:spacing w:before="180" w:after="100"/>
      </w:pPr>
      <w:r>
        <w:rPr>
          <w:b/>
          <w:bCs/>
          <w:sz w:val="24"/>
          <w:szCs w:val="24"/>
        </w:rPr>
        <w:t xml:space="preserve">KPI Analysis 4</w:t>
      </w:r>
    </w:p>
    <w:p>
      <w:pPr>
        <w:spacing w:after="200"/>
      </w:pPr>
      <w:r>
        <w:t xml:space="preserve">Revenue generation for this period demonstrated moderate momentum, with total realized revenue reaching $772.8M, representing a 13.9% growth compared to the previous quarter. This performance was primarily driven by product enhancements, which contributed significantly to the overall financial outcome. The revenue trajectory indicates market opportunity,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31% improvement in identification accuracy while reducing false positive rates by 31%.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Cost optimization programs exceeded targets, delivering $772.8M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$772.8M with focus on technical and leadership capability development.</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8 months with projected annual savings of $772.8M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$772.8M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$8.7M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2026-02-05T08:24:46.486Z</dcterms:created>
  <dcterms:modified xsi:type="dcterms:W3CDTF">2026-02-05T08:24:46.486Z</dcterms:modified>
</cp:coreProperties>
</file>

<file path=docProps/custom.xml><?xml version="1.0" encoding="utf-8"?>
<Properties xmlns="http://schemas.openxmlformats.org/officeDocument/2006/custom-properties" xmlns:vt="http://schemas.openxmlformats.org/officeDocument/2006/docPropsVTypes"/>
</file>