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Technical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FEB-25Q3-0034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2025-08-04</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Q3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This report documents the operational and strategic performance of Neptune Payments throughout Q3 2025. The analysis examines key performance indicators, evaluates risk factors, and assesses alignment with enterprise-wide objectives and compliance requirements.</w:t>
      </w:r>
    </w:p>
    <w:p>
      <w:pPr>
        <w:pStyle w:val="Heading1"/>
        <w:spacing w:before="240" w:after="120"/>
      </w:pPr>
      <w:r>
        <w:rPr>
          <w:b/>
          <w:bCs/>
          <w:sz w:val="28"/>
          <w:szCs w:val="28"/>
        </w:rPr>
        <w:t xml:space="preserve">Key Performance Indicators</w:t>
      </w:r>
    </w:p>
    <w:p>
      <w:pPr>
        <w:spacing w:after="200"/>
      </w:pPr>
      <w:r>
        <w:rPr>
          <w:i/>
          <w:iCs/>
        </w:rPr>
        <w:t xml:space="preserve">Focus Areas: Revenue, Regulatory Risk, Customer Churn</w:t>
      </w:r>
    </w:p>
    <w:p>
      <w:pPr>
        <w:pStyle w:val="Heading2"/>
        <w:spacing w:before="180" w:after="100"/>
      </w:pPr>
      <w:r>
        <w:rPr>
          <w:b/>
          <w:bCs/>
          <w:sz w:val="24"/>
          <w:szCs w:val="24"/>
        </w:rPr>
        <w:t xml:space="preserve">KPI Analysis 1</w:t>
      </w:r>
    </w:p>
    <w:p>
      <w:pPr>
        <w:spacing w:after="200"/>
      </w:pPr>
      <w:r>
        <w:t xml:space="preserve">Fraud detection capabilities showed moderate performance this quarter, with the overall fraud rate measuring 0.22% of total transaction volume. The fraud prevention systems successfully identified and blocked $1.5M in potentially fraudulent activities. Enhanced machine learning models contributed to a 23.6% improvement in detection accuracy while maintaining low false positive rates.</w:t>
      </w:r>
    </w:p>
    <w:p>
      <w:pPr>
        <w:pStyle w:val="Heading2"/>
        <w:spacing w:before="180" w:after="100"/>
      </w:pPr>
      <w:r>
        <w:rPr>
          <w:b/>
          <w:bCs/>
          <w:sz w:val="24"/>
          <w:szCs w:val="24"/>
        </w:rPr>
        <w:t xml:space="preserve">KPI Analysis 2</w:t>
      </w:r>
    </w:p>
    <w:p>
      <w:pPr>
        <w:spacing w:after="200"/>
      </w:pPr>
      <w:r>
        <w:t xml:space="preserve">Regulatory risk assessment identified 9 areas requiring enhanced monitoring and control frameworks. The compliance team successfully addressed 5 previously identified issues while implementing 1 additional safeguards. All regulatory reporting obligations were met within prescribed deadlines, with zero material findings from external audits.</w:t>
      </w:r>
    </w:p>
    <w:p>
      <w:pPr>
        <w:pStyle w:val="Heading2"/>
        <w:spacing w:before="180" w:after="100"/>
      </w:pPr>
      <w:r>
        <w:rPr>
          <w:b/>
          <w:bCs/>
          <w:sz w:val="24"/>
          <w:szCs w:val="24"/>
        </w:rPr>
        <w:t xml:space="preserve">KPI Analysis 3</w:t>
      </w:r>
    </w:p>
    <w:p>
      <w:pPr>
        <w:spacing w:after="200"/>
      </w:pPr>
      <w:r>
        <w:t xml:space="preserve">Revenue generation for this period demonstrated moderate momentum, with total realized revenue reaching $821.8M, representing a 23.6% improvement compared to the previous quarter. This performance was primarily driven by operational efficiency, which contributed significantly to the overall financial outcome. The revenue trajectory indicates continued expansion,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Credit approval rates achieved 0.22% during this quarter, processing a total of 19957 applications through automated and manual review channels. The approval criteria balanced risk appetite with growth objectives, resulting in a default rate of 2.05% among newly approved accounts. Underwriting efficiency improved by 23.6%, reducing average decision time to 10 hours.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Cost optimization programs exceeded targets, delivering $821.8M in identified savings through operational efficiency improvements and strategic sourcing initiatives. The finance team implemented sophisticated spend analytics and implemented zero-based budgeting approaches that improved resource allocation transparency and accountability across all functional areas.</w:t>
      </w:r>
    </w:p>
    <w:p>
      <w:pPr>
        <w:pStyle w:val="Heading2"/>
        <w:spacing w:before="180" w:after="100"/>
      </w:pPr>
      <w:r>
        <w:rPr>
          <w:b/>
          <w:bCs/>
          <w:sz w:val="24"/>
          <w:szCs w:val="24"/>
        </w:rPr>
        <w:t xml:space="preserve">Achievement 2</w:t>
      </w:r>
    </w:p>
    <w:p>
      <w:pPr>
        <w:spacing w:after="200"/>
      </w:pPr>
      <w:r>
        <w:t xml:space="preserve">New product launch exceeded initial adoption targets by 26%, with 9 customers onboarded in the first 19 days. The go-to-market strategy successfully addressed customer pain points and differentiated the offering from competitive alternatives. Early usage patterns and feedback provide strong indicators for sustained growth trajectory.</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2"/>
        <w:spacing w:before="180" w:after="100"/>
      </w:pPr>
      <w:r>
        <w:rPr>
          <w:b/>
          <w:bCs/>
          <w:sz w:val="24"/>
          <w:szCs w:val="24"/>
        </w:rPr>
        <w:t xml:space="preserve">Recommendation 2</w:t>
      </w:r>
    </w:p>
    <w:p>
      <w:pPr>
        <w:spacing w:after="200"/>
      </w:pPr>
      <w:r>
        <w:t xml:space="preserve">Optimize customer onboarding workflows to reduce friction and improve conversion rates. Current process analysis identified 9 opportunities for automation and simplification that could reduce average onboarding time by 26%. Improved onboarding experience will positively impact customer acquisition costs and lifetime value metrics.</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$821.8M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71ms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0.22%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5.9%</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65.1%</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$8.5M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2026-02-05T08:24:46.643Z</dcterms:created>
  <dcterms:modified xsi:type="dcterms:W3CDTF">2026-02-05T08:24:46.643Z</dcterms:modified>
</cp:coreProperties>
</file>

<file path=docProps/custom.xml><?xml version="1.0" encoding="utf-8"?>
<Properties xmlns="http://schemas.openxmlformats.org/officeDocument/2006/custom-properties" xmlns:vt="http://schemas.openxmlformats.org/officeDocument/2006/docPropsVTypes"/>
</file>