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FEB-25Q3-0055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Q3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Transaction Latency, Revenue, Customer Churn</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51ms across all payment channels, marking a 12.2% growth from prior benchmarks. The performance improvement can be attributed to infrastructure optimization, which enhanced system throughput and reduced processing bottlenecks. Detailed analysis indicates that 17% of transactions completed within the target SLA threshold.</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$782.6M representing a 12.2% growth from forecast. Cloud resource optimization, improved capacity planning, and strategic vendor negotiations contributed to the cost efficiency gains. The cost-per-transaction metric improved to $0.066, supporting improved unit economics.</w:t>
      </w:r>
    </w:p>
    <w:p>
      <w:pPr>
        <w:pStyle w:val="Heading2"/>
        <w:spacing w:before="180" w:after="100"/>
      </w:pPr>
      <w:r>
        <w:rPr>
          <w:b/>
          <w:bCs/>
          <w:sz w:val="24"/>
          <w:szCs w:val="24"/>
        </w:rPr>
        <w:t xml:space="preserve">KPI Analysis 3</w:t>
      </w:r>
    </w:p>
    <w:p>
      <w:pPr>
        <w:spacing w:after="200"/>
      </w:pPr>
      <w:r>
        <w:t xml:space="preserve">Revenue generation for this period demonstrated stable momentum, with total realized revenue reaching $782.6M, representing a 12.2% growth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Regulatory risk assessment identified 14 areas requiring enhanced monitoring and control frameworks. The compliance team successfully addressed 5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17%, with 14 customers onboarded in the first 17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Cost optimization programs exceeded targets, delivering $782.6M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14 months with projected annual savings of $782.6M upon full implementation.</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14 opportunities for automation and simplification that could reduce average onboarding time by 17%.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$782.6M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2026-02-05T08:24:46.815Z</dcterms:created>
  <dcterms:modified xsi:type="dcterms:W3CDTF">2026-02-05T08:24:46.815Z</dcterms:modified>
</cp:coreProperties>
</file>

<file path=docProps/custom.xml><?xml version="1.0" encoding="utf-8"?>
<Properties xmlns="http://schemas.openxmlformats.org/officeDocument/2006/custom-properties" xmlns:vt="http://schemas.openxmlformats.org/officeDocument/2006/docPropsVTypes"/>
</file>