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Performance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FEB-24Q4-0007</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2024-10-07</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Q4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Orion Fraud</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Aarav</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Director Engineering</w:t>
            </w:r>
          </w:p>
        </w:tc>
      </w:tr>
    </w:tbl>
    <w:p>
      <w:pPr>
        <w:spacing w:after="300"/>
      </w:pPr>
    </w:p>
    <w:p>
      <w:pPr>
        <w:pStyle w:val="Heading1"/>
        <w:spacing w:before="240" w:after="120"/>
      </w:pPr>
      <w:r>
        <w:rPr>
          <w:b/>
          <w:bCs/>
          <w:sz w:val="28"/>
          <w:szCs w:val="28"/>
        </w:rPr>
        <w:t xml:space="preserve">Executive Summary</w:t>
      </w:r>
    </w:p>
    <w:p>
      <w:pPr>
        <w:spacing w:after="200"/>
      </w:pPr>
      <w:r>
        <w:t xml:space="preserve">This analytical review focuses on Orion Fraud outcomes achieved during Q4 2024. The report synthesizes data from multiple sources to present a holistic view of project performance, resource utilization, and strategic value delivery.</w:t>
      </w:r>
    </w:p>
    <w:p>
      <w:pPr>
        <w:pStyle w:val="Heading1"/>
        <w:spacing w:before="240" w:after="120"/>
      </w:pPr>
      <w:r>
        <w:rPr>
          <w:b/>
          <w:bCs/>
          <w:sz w:val="28"/>
          <w:szCs w:val="28"/>
        </w:rPr>
        <w:t xml:space="preserve">Key Performance Indicators</w:t>
      </w:r>
    </w:p>
    <w:p>
      <w:pPr>
        <w:spacing w:after="200"/>
      </w:pPr>
      <w:r>
        <w:rPr>
          <w:i/>
          <w:iCs/>
        </w:rPr>
        <w:t xml:space="preserve">Focus Areas: Revenue, Approval Rate, Regulatory Risk</w:t>
      </w:r>
    </w:p>
    <w:p>
      <w:pPr>
        <w:pStyle w:val="Heading2"/>
        <w:spacing w:before="180" w:after="100"/>
      </w:pPr>
      <w:r>
        <w:rPr>
          <w:b/>
          <w:bCs/>
          <w:sz w:val="24"/>
          <w:szCs w:val="24"/>
        </w:rPr>
        <w:t xml:space="preserve">KPI Analysis 1</w:t>
      </w:r>
    </w:p>
    <w:p>
      <w:pPr>
        <w:spacing w:after="200"/>
      </w:pPr>
      <w:r>
        <w:t xml:space="preserve">Credit approval rates achieved 0.37% during this quarter, processing a total of 58018 applications through automated and manual review channels. The approval criteria balanced risk appetite with growth objectives, resulting in a default rate of 0.73% among newly approved accounts. Underwriting efficiency improved by 24.0%, reducing average decision time to 17 hours.</w:t>
      </w:r>
    </w:p>
    <w:p>
      <w:pPr>
        <w:pStyle w:val="Heading2"/>
        <w:spacing w:before="180" w:after="100"/>
      </w:pPr>
      <w:r>
        <w:rPr>
          <w:b/>
          <w:bCs/>
          <w:sz w:val="24"/>
          <w:szCs w:val="24"/>
        </w:rPr>
        <w:t xml:space="preserve">KPI Analysis 2</w:t>
      </w:r>
    </w:p>
    <w:p>
      <w:pPr>
        <w:spacing w:after="200"/>
      </w:pPr>
      <w:r>
        <w:t xml:space="preserve">Revenue generation for this period demonstrated strong momentum, with total realized revenue reaching $540.7M, representing a 24.0% increase compared to the previous quarter. This performance was primarily driven by customer acquisition, which contributed significantly to the overall financial outcome. The revenue trajectory indicates market opportunity, suggesting sustained momentum in market penetration and customer value realization.</w:t>
      </w:r>
    </w:p>
    <w:p>
      <w:pPr>
        <w:pStyle w:val="Heading2"/>
        <w:spacing w:before="180" w:after="100"/>
      </w:pPr>
      <w:r>
        <w:rPr>
          <w:b/>
          <w:bCs/>
          <w:sz w:val="24"/>
          <w:szCs w:val="24"/>
        </w:rPr>
        <w:t xml:space="preserve">KPI Analysis 3</w:t>
      </w:r>
    </w:p>
    <w:p>
      <w:pPr>
        <w:spacing w:after="200"/>
      </w:pPr>
      <w:r>
        <w:t xml:space="preserve">Infrastructure cost optimization initiatives yielded significant results, with total operational expenditure of $540.7M representing a 24.0% increase from forecast. Cloud resource optimization, improved capacity planning, and strategic vendor negotiations contributed to the cost efficiency gains. The cost-per-transaction metric improved to $0.043, supporting improved unit economics.</w:t>
      </w:r>
    </w:p>
    <w:p>
      <w:pPr>
        <w:pStyle w:val="Heading2"/>
        <w:spacing w:before="180" w:after="100"/>
      </w:pPr>
      <w:r>
        <w:rPr>
          <w:b/>
          <w:bCs/>
          <w:sz w:val="24"/>
          <w:szCs w:val="24"/>
        </w:rPr>
        <w:t xml:space="preserve">KPI Analysis 4</w:t>
      </w:r>
    </w:p>
    <w:p>
      <w:pPr>
        <w:spacing w:after="200"/>
      </w:pPr>
      <w:r>
        <w:t xml:space="preserve">Transaction latency metrics revealed an average response time of 52ms across all payment channels, marking a 24.0% increase from prior benchmarks. The performance improvement can be attributed to database tuning, which enhanced system throughput and reduced processing bottlenecks. Detailed analysis indicates that 24% of transactions completed within the target SLA threshold.</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Several operational challenges emerged during the quarter that required immediate attention and remediation. System scalability constraints became apparent during peak transaction periods, necessitating infrastructure upgrades and architectural refinements. The engineering team implemented emergency capacity enhancements while developing longer-term solutions to address underlying limitations.</w:t>
      </w:r>
    </w:p>
    <w:p>
      <w:pPr>
        <w:pStyle w:val="Heading2"/>
        <w:spacing w:before="180" w:after="100"/>
      </w:pPr>
      <w:r>
        <w:rPr>
          <w:b/>
          <w:bCs/>
          <w:sz w:val="24"/>
          <w:szCs w:val="24"/>
        </w:rPr>
        <w:t xml:space="preserve">Challenge 2</w:t>
      </w:r>
    </w:p>
    <w:p>
      <w:pPr>
        <w:spacing w:after="200"/>
      </w:pPr>
      <w:r>
        <w:t xml:space="preserve">Data quality issues in the customer information database created complications for analytics and reporting workflows. Approximately 24% of records required remediation due to incomplete or inconsistent data elements. A comprehensive data cleansing initiative was launched, establishing new validation protocols and improving upstream data capture mechanisms.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Fraud detection algorithm refinements resulted in a 24% improvement in identification accuracy while reducing false positive rates by 24%. The machine learning models now incorporate expanded feature sets and improved training methodologies that enhance pattern recognition capabilities. These improvements directly translate to reduced financial losses and improved customer experience.</w:t>
      </w:r>
    </w:p>
    <w:p>
      <w:pPr>
        <w:pStyle w:val="Heading2"/>
        <w:spacing w:before="180" w:after="100"/>
      </w:pPr>
      <w:r>
        <w:rPr>
          <w:b/>
          <w:bCs/>
          <w:sz w:val="24"/>
          <w:szCs w:val="24"/>
        </w:rPr>
        <w:t xml:space="preserve">Achievement 2</w:t>
      </w:r>
    </w:p>
    <w:p>
      <w:pPr>
        <w:spacing w:after="200"/>
      </w:pPr>
      <w:r>
        <w:t xml:space="preserve">Regulatory compliance audit concluded with zero critical findings and commendations for control framework maturity and documentation quality. The compliance team's proactive approach to requirement interpretation and implementation established FinEdge Bank as an industry leader in governance practices. This outcome strengthens stakeholder confidence and competitive positioning.</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Establish dedicated innovation team to explore emerging technologies and business model innovations. The rapidly evolving competitive landscape requires systematic approach to identifying disruptive opportunities and threats. Recommended team size of 8 professionals with cross-functional expertise and appropriate experimentation budget.</w:t>
      </w:r>
    </w:p>
    <w:p>
      <w:pPr>
        <w:pStyle w:val="Heading2"/>
        <w:spacing w:before="180" w:after="100"/>
      </w:pPr>
      <w:r>
        <w:rPr>
          <w:b/>
          <w:bCs/>
          <w:sz w:val="24"/>
          <w:szCs w:val="24"/>
        </w:rPr>
        <w:t xml:space="preserve">Recommendation 2</w:t>
      </w:r>
    </w:p>
    <w:p>
      <w:pPr>
        <w:spacing w:after="200"/>
      </w:pPr>
      <w:r>
        <w:t xml:space="preserve">Accelerate cloud infrastructure migration to enhance scalability, reliability, and cost efficiency. The transition should prioritize customer-facing systems and adopt a phased approach that minimizes service disruption. Estimated completion timeline of 11 months with projected annual savings of $540.7M upon full implementation.</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$540.7M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52ms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0.37%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75.0%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$9.6M</w:t>
            </w:r>
          </w:p>
        </w:tc>
      </w:tr>
    </w:tbl>
    <w:p>
      <w:pPr>
        <w:pStyle w:val="Heading1"/>
        <w:spacing w:before="240" w:after="120"/>
      </w:pPr>
      <w:r>
        <w:rPr>
          <w:b/>
          <w:bCs/>
          <w:sz w:val="28"/>
          <w:szCs w:val="28"/>
        </w:rPr>
        <w:t xml:space="preserve">Conclusion</w:t>
      </w:r>
    </w:p>
    <w:p>
      <w:pPr>
        <w:spacing w:after="200"/>
      </w:pPr>
      <w:r>
        <w:t xml:space="preserve">The findings and recommendations outlined in this report provide actionable insights for stakeholders across the organization. Implementation of the proposed initiatives will require coordinated effort and sustained focus, but the potential value creation justifies the required investment. Regular progress tracking and course correction mechanisms will ensure achievement of desired outcomes.</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2026-02-05T08:24:45.178Z</dcterms:created>
  <dcterms:modified xsi:type="dcterms:W3CDTF">2026-02-05T08:24:45.178Z</dcterms:modified>
</cp:coreProperties>
</file>

<file path=docProps/custom.xml><?xml version="1.0" encoding="utf-8"?>
<Properties xmlns="http://schemas.openxmlformats.org/officeDocument/2006/custom-properties" xmlns:vt="http://schemas.openxmlformats.org/officeDocument/2006/docPropsVTypes"/>
</file>