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FEB-24Q4-0009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2024-12-08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Zenith Risk performance during Q4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Fraud Rate, Infra Cost, Transaction Latency</w:t>
      </w:r>
    </w:p>
    <w:p>
      <w:pPr>
        <w:pStyle w:val="Heading2"/>
        <w:spacing w:before="180" w:after="100"/>
      </w:pPr>
      <w:r>
        <w:rPr>
          <w:b/>
          <w:bCs/>
          <w:sz w:val="24"/>
          <w:szCs w:val="24"/>
        </w:rPr>
        <w:t xml:space="preserve">KPI Analysis 1</w:t>
      </w:r>
    </w:p>
    <w:p>
      <w:pPr>
        <w:spacing w:after="200"/>
      </w:pPr>
      <w:r>
        <w:t xml:space="preserve">Revenue generation for this period demonstrated stable momentum, with total realized revenue reaching $484.1M, representing a 13.0% growth compared to the previous quarter. This performance was primarily driven by pricing optimization,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Credit approval rates achieved 0.30% during this quarter, processing a total of 49807 applications through automated and manual review channels. The approval criteria balanced risk appetite with growth objectives, resulting in a default rate of 1.64% among newly approved accounts. Underwriting efficiency improved by 13.0%, reducing average decision time to 25 hours.</w:t>
      </w:r>
    </w:p>
    <w:p>
      <w:pPr>
        <w:pStyle w:val="Heading2"/>
        <w:spacing w:before="180" w:after="100"/>
      </w:pPr>
      <w:r>
        <w:rPr>
          <w:b/>
          <w:bCs/>
          <w:sz w:val="24"/>
          <w:szCs w:val="24"/>
        </w:rPr>
        <w:t xml:space="preserve">KPI Analysis 3</w:t>
      </w:r>
    </w:p>
    <w:p>
      <w:pPr>
        <w:spacing w:after="200"/>
      </w:pPr>
      <w:r>
        <w:t xml:space="preserve">Regulatory risk assessment identified 17 areas requiring enhanced monitoring and control frameworks. The compliance team successfully addressed 7 previously identified issues while implementing 2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Customer churn analysis indicates a retention rate of 94.7%, with 406 customers discontinuing service during the reporting period. Primary churn drivers included pricing concerns, accounting for 16% of total attrition. Proactive retention initiatives managed to save approximately 16%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16%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16%, with 17 customers onboarded in the first 18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7 months with projected annual savings of $484.1M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7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$484.1M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$10.8M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Zenith Risk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2026-02-05T08:24:45.193Z</dcterms:created>
  <dcterms:modified xsi:type="dcterms:W3CDTF">2026-02-05T08:24:45.193Z</dcterms:modified>
</cp:coreProperties>
</file>

<file path=docProps/custom.xml><?xml version="1.0" encoding="utf-8"?>
<Properties xmlns="http://schemas.openxmlformats.org/officeDocument/2006/custom-properties" xmlns:vt="http://schemas.openxmlformats.org/officeDocument/2006/docPropsVTypes"/>
</file>