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FEB-24Q4-0011</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2024-12-15</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Orion Fraud</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The following analysis presents a thorough evaluation of Orion Fraud operations for Q4 2024. This assessment incorporates quantitative metrics, qualitative insights, and forward-looking recommendations to support informed decision-making.</w:t>
      </w:r>
    </w:p>
    <w:p>
      <w:pPr>
        <w:pStyle w:val="Heading1"/>
        <w:spacing w:before="240" w:after="120"/>
      </w:pPr>
      <w:r>
        <w:rPr>
          <w:b/>
          <w:bCs/>
          <w:sz w:val="28"/>
          <w:szCs w:val="28"/>
        </w:rPr>
        <w:t xml:space="preserve">Key Performance Indicators</w:t>
      </w:r>
    </w:p>
    <w:p>
      <w:pPr>
        <w:spacing w:after="200"/>
      </w:pPr>
      <w:r>
        <w:rPr>
          <w:i/>
          <w:iCs/>
        </w:rPr>
        <w:t xml:space="preserve">Focus Areas: Approval Rate, Revenue, Regulatory Risk</w:t>
      </w:r>
    </w:p>
    <w:p>
      <w:pPr>
        <w:pStyle w:val="Heading2"/>
        <w:spacing w:before="180" w:after="100"/>
      </w:pPr>
      <w:r>
        <w:rPr>
          <w:b/>
          <w:bCs/>
          <w:sz w:val="24"/>
          <w:szCs w:val="24"/>
        </w:rPr>
        <w:t xml:space="preserve">KPI Analysis 1</w:t>
      </w:r>
    </w:p>
    <w:p>
      <w:pPr>
        <w:spacing w:after="200"/>
      </w:pPr>
      <w:r>
        <w:t xml:space="preserve">Infrastructure cost optimization initiatives yielded significant results, with total operational expenditure of $545.2M representing a 20.9% increase from forecast. Cloud resource optimization, improved capacity planning, and strategic vendor negotiations contributed to the cost efficiency gains. The cost-per-transaction metric improved to $0.050, supporting improved unit economics.</w:t>
      </w:r>
    </w:p>
    <w:p>
      <w:pPr>
        <w:pStyle w:val="Heading2"/>
        <w:spacing w:before="180" w:after="100"/>
      </w:pPr>
      <w:r>
        <w:rPr>
          <w:b/>
          <w:bCs/>
          <w:sz w:val="24"/>
          <w:szCs w:val="24"/>
        </w:rPr>
        <w:t xml:space="preserve">KPI Analysis 2</w:t>
      </w:r>
    </w:p>
    <w:p>
      <w:pPr>
        <w:spacing w:after="200"/>
      </w:pPr>
      <w:r>
        <w:t xml:space="preserve">Fraud detection capabilities showed moderate performance this quarter, with the overall fraud rate measuring 0.16% of total transaction volume. The fraud prevention systems successfully identified and blocked $4.2M in potentially fraudulent activities. Enhanced machine learning models contributed to a 20.9% improvement in detection accuracy while maintaining low false positive rates.</w:t>
      </w:r>
    </w:p>
    <w:p>
      <w:pPr>
        <w:pStyle w:val="Heading2"/>
        <w:spacing w:before="180" w:after="100"/>
      </w:pPr>
      <w:r>
        <w:rPr>
          <w:b/>
          <w:bCs/>
          <w:sz w:val="24"/>
          <w:szCs w:val="24"/>
        </w:rPr>
        <w:t xml:space="preserve">KPI Analysis 3</w:t>
      </w:r>
    </w:p>
    <w:p>
      <w:pPr>
        <w:spacing w:after="200"/>
      </w:pPr>
      <w:r>
        <w:t xml:space="preserve">Credit approval rates achieved 0.16% during this quarter, processing a total of 36934 applications through automated and manual review channels. The approval criteria balanced risk appetite with growth objectives, resulting in a default rate of 2.36% among newly approved accounts. Underwriting efficiency improved by 20.9%, reducing average decision time to 10 hours.</w:t>
      </w:r>
    </w:p>
    <w:p>
      <w:pPr>
        <w:pStyle w:val="Heading2"/>
        <w:spacing w:before="180" w:after="100"/>
      </w:pPr>
      <w:r>
        <w:rPr>
          <w:b/>
          <w:bCs/>
          <w:sz w:val="24"/>
          <w:szCs w:val="24"/>
        </w:rPr>
        <w:t xml:space="preserve">KPI Analysis 4</w:t>
      </w:r>
    </w:p>
    <w:p>
      <w:pPr>
        <w:spacing w:after="200"/>
      </w:pPr>
      <w:r>
        <w:t xml:space="preserve">Regulatory risk assessment identified 15 areas requiring enhanced monitoring and control frameworks. The compliance team successfully addressed 6 previously identified issues while implementing 5 additional safeguards. All regulatory reporting obligations were met within prescribed deadlines, with zero material findings from external audits.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2"/>
        <w:spacing w:before="180" w:after="100"/>
      </w:pPr>
      <w:r>
        <w:rPr>
          <w:b/>
          <w:bCs/>
          <w:sz w:val="24"/>
          <w:szCs w:val="24"/>
        </w:rPr>
        <w:t xml:space="preserve">Challenge 2</w:t>
      </w:r>
    </w:p>
    <w:p>
      <w:pPr>
        <w:spacing w:after="200"/>
      </w:pPr>
      <w:r>
        <w:t xml:space="preserve">Data quality issues in the customer information database created complications for analytics and reporting workflows. Approximately 29% of records required remediation due to incomplete or inconsistent data elements. A comprehensive data cleansing initiative was launched, establishing new validation protocols and improving upstream data capture mechanisms.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New product launch exceeded initial adoption targets by 29%, with 15 customers onboarded in the first 17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8 months with projected annual savings of $545.2M upon full implementation.</w:t>
      </w:r>
    </w:p>
    <w:p>
      <w:pPr>
        <w:pStyle w:val="Heading2"/>
        <w:spacing w:before="180" w:after="100"/>
      </w:pPr>
      <w:r>
        <w:rPr>
          <w:b/>
          <w:bCs/>
          <w:sz w:val="24"/>
          <w:szCs w:val="24"/>
        </w:rPr>
        <w:t xml:space="preserve">Recommendation 2</w:t>
      </w:r>
    </w:p>
    <w:p>
      <w:pPr>
        <w:spacing w:after="200"/>
      </w:pPr>
      <w:r>
        <w:t xml:space="preserve">Strengthen cybersecurity posture through enhanced monitoring tools, incident response capabilities, and security awareness training programs. The threat landscape evolution requires continuous investment in defensive capabilities and proactive threat hunting. Recommended budget allocation of $545.2M annually to maintain appropriate security maturity level.</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$545.2M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46ms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0.16%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3.4%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77.1%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$9.6M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Orion Fraud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2026-02-05T08:24:45.208Z</dcterms:created>
  <dcterms:modified xsi:type="dcterms:W3CDTF">2026-02-05T08:24:45.208Z</dcterms:modified>
</cp:coreProperties>
</file>

<file path=docProps/custom.xml><?xml version="1.0" encoding="utf-8"?>
<Properties xmlns="http://schemas.openxmlformats.org/officeDocument/2006/custom-properties" xmlns:vt="http://schemas.openxmlformats.org/officeDocument/2006/docPropsVTypes"/>
</file>