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FEB-24Q4-0014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2024-10-28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Phoenix Wallet operations for Q4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Fraud Rate, Customer Churn, Approval Rate, Transaction Latency, Regulatory Risk</w:t>
      </w:r>
    </w:p>
    <w:p>
      <w:pPr>
        <w:pStyle w:val="Heading2"/>
        <w:spacing w:before="180" w:after="100"/>
      </w:pPr>
      <w:r>
        <w:rPr>
          <w:b/>
          <w:bCs/>
          <w:sz w:val="24"/>
          <w:szCs w:val="24"/>
        </w:rPr>
        <w:t xml:space="preserve">KPI Analysis 1</w:t>
      </w:r>
    </w:p>
    <w:p>
      <w:pPr>
        <w:spacing w:after="200"/>
      </w:pPr>
      <w:r>
        <w:t xml:space="preserve">Customer churn analysis indicates a retention rate of 93.2%, with 309 customers discontinuing service during the reporting period. Primary churn drivers included support quality, accounting for 36% of total attrition. Proactive retention initiatives managed to save approximately 36%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$464.3M, representing a 16.9% growth compared to the previous quarter. This performance was primarily driven by product enhancements,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Transaction latency metrics revealed an average response time of 48ms across all payment channels, marking a 16.9% growth from prior benchmarks. The performance improvement can be attributed to network optimization, which enhanced system throughput and reduced processing bottlenecks. Detailed analysis indicates that 36% of transactions completed within the target SLA threshold.</w:t>
      </w:r>
    </w:p>
    <w:p>
      <w:pPr>
        <w:pStyle w:val="Heading2"/>
        <w:spacing w:before="180" w:after="100"/>
      </w:pPr>
      <w:r>
        <w:rPr>
          <w:b/>
          <w:bCs/>
          <w:sz w:val="24"/>
          <w:szCs w:val="24"/>
        </w:rPr>
        <w:t xml:space="preserve">KPI Analysis 4</w:t>
      </w:r>
    </w:p>
    <w:p>
      <w:pPr>
        <w:spacing w:after="200"/>
      </w:pPr>
      <w:r>
        <w:t xml:space="preserve">Regulatory risk assessment identified 7 areas requiring enhanced monitoring and control frameworks. The compliance team successfully addressed 10 previously identified issues while implementing 3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36%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$464.3M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7.6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7 months with projected annual savings of $464.3M upon full implementation.</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8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$464.3M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$11.3M</w:t>
            </w:r>
          </w:p>
        </w:tc>
      </w:tr>
    </w:tbl>
    <w:p>
      <w:pPr>
        <w:pStyle w:val="Heading1"/>
        <w:spacing w:before="240" w:after="120"/>
      </w:pPr>
      <w:r>
        <w:rPr>
          <w:b/>
          <w:bCs/>
          <w:sz w:val="28"/>
          <w:szCs w:val="28"/>
        </w:rPr>
        <w:t xml:space="preserve">Conclusion</w:t>
      </w:r>
    </w:p>
    <w:p>
      <w:pPr>
        <w:spacing w:after="200"/>
      </w:pPr>
      <w:r>
        <w:t xml:space="preserve">In summary, Phoenix Wallet demonstrated solid performance during Q4 2024 with notable achievements in revenue growth while navigating challenges in talent retention. The strategic priorities for the coming quarter focus on enhancing scalability,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2026-02-05T08:24:45.233Z</dcterms:created>
  <dcterms:modified xsi:type="dcterms:W3CDTF">2026-02-05T08:24:45.233Z</dcterms:modified>
</cp:coreProperties>
</file>

<file path=docProps/custom.xml><?xml version="1.0" encoding="utf-8"?>
<Properties xmlns="http://schemas.openxmlformats.org/officeDocument/2006/custom-properties" xmlns:vt="http://schemas.openxmlformats.org/officeDocument/2006/docPropsVTypes"/>
</file>