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FEB-24Q4-0019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2024-11-27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Phoenix Wallet outcomes achieved during Q4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Revenue, Fraud Rate, Transaction Latency, Approval Rate</w:t>
      </w:r>
    </w:p>
    <w:p>
      <w:pPr>
        <w:pStyle w:val="Heading2"/>
        <w:spacing w:before="180" w:after="100"/>
      </w:pPr>
      <w:r>
        <w:rPr>
          <w:b/>
          <w:bCs/>
          <w:sz w:val="24"/>
          <w:szCs w:val="24"/>
        </w:rPr>
        <w:t xml:space="preserve">KPI Analysis 1</w:t>
      </w:r>
    </w:p>
    <w:p>
      <w:pPr>
        <w:spacing w:after="200"/>
      </w:pPr>
      <w:r>
        <w:t xml:space="preserve">Fraud detection capabilities showed strong performance this quarter, with the overall fraud rate measuring 0.38% of total transaction volume. The fraud prevention systems successfully identified and blocked $4.5M in potentially fraudulent activities. Enhanced machine learning models contributed to a 7.3%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Customer churn analysis indicates a retention rate of 94.4%, with 592 customers discontinuing service during the reporting period. Primary churn drivers included pricing concerns, accounting for 22% of total attrition. Proactive retention initiatives managed to save approximately 22%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Regulatory risk assessment identified 8 areas requiring enhanced monitoring and control frameworks. The compliance team successfully addressed 4 previously identified issues while implementing 2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$502.7M representing a 7.3% increase from forecast. Cloud resource optimization, improved capacity planning, and strategic vendor negotiations contributed to the cost efficiency gains. The cost-per-transaction metric improved to $0.056,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Cost optimization programs exceeded targets, delivering $502.7M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11 months with projected annual savings of $502.7M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11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$502.7M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2026-02-05T08:24:45.267Z</dcterms:created>
  <dcterms:modified xsi:type="dcterms:W3CDTF">2026-02-05T08:24:45.267Z</dcterms:modified>
</cp:coreProperties>
</file>

<file path=docProps/custom.xml><?xml version="1.0" encoding="utf-8"?>
<Properties xmlns="http://schemas.openxmlformats.org/officeDocument/2006/custom-properties" xmlns:vt="http://schemas.openxmlformats.org/officeDocument/2006/docPropsVTypes"/>
</file>