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Operational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FEB-24Q4-0024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2024-12-02</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Neha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Manager</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Neptune Payments throughout Q4 2024.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Transaction Latency, Infra Cost, Fraud Rate, Revenue</w:t>
      </w:r>
    </w:p>
    <w:p>
      <w:pPr>
        <w:pStyle w:val="Heading2"/>
        <w:spacing w:before="180" w:after="100"/>
      </w:pPr>
      <w:r>
        <w:rPr>
          <w:b/>
          <w:bCs/>
          <w:sz w:val="24"/>
          <w:szCs w:val="24"/>
        </w:rPr>
        <w:t xml:space="preserve">KPI Analysis 1</w:t>
      </w:r>
    </w:p>
    <w:p>
      <w:pPr>
        <w:spacing w:after="200"/>
      </w:pPr>
      <w:r>
        <w:t xml:space="preserve">Credit approval rates achieved 0.33% during this quarter, processing a total of 57731 applications through automated and manual review channels. The approval criteria balanced risk appetite with growth objectives, resulting in a default rate of 2.25% among newly approved accounts. Underwriting efficiency improved by 18.1%, reducing average decision time to 20 hours.</w:t>
      </w:r>
    </w:p>
    <w:p>
      <w:pPr>
        <w:pStyle w:val="Heading2"/>
        <w:spacing w:before="180" w:after="100"/>
      </w:pPr>
      <w:r>
        <w:rPr>
          <w:b/>
          <w:bCs/>
          <w:sz w:val="24"/>
          <w:szCs w:val="24"/>
        </w:rPr>
        <w:t xml:space="preserve">KPI Analysis 2</w:t>
      </w:r>
    </w:p>
    <w:p>
      <w:pPr>
        <w:spacing w:after="200"/>
      </w:pPr>
      <w:r>
        <w:t xml:space="preserve">Transaction latency metrics revealed an average response time of 69ms across all payment channels, marking a 18.1% increase from prior benchmarks. The performance improvement can be attributed to database tuning, which enhanced system throughput and reduced processing bottlenecks. Detailed analysis indicates that 45% of transactions completed within the target SLA threshold.</w:t>
      </w:r>
    </w:p>
    <w:p>
      <w:pPr>
        <w:pStyle w:val="Heading2"/>
        <w:spacing w:before="180" w:after="100"/>
      </w:pPr>
      <w:r>
        <w:rPr>
          <w:b/>
          <w:bCs/>
          <w:sz w:val="24"/>
          <w:szCs w:val="24"/>
        </w:rPr>
        <w:t xml:space="preserve">KPI Analysis 3</w:t>
      </w:r>
    </w:p>
    <w:p>
      <w:pPr>
        <w:spacing w:after="200"/>
      </w:pPr>
      <w:r>
        <w:t xml:space="preserve">Customer churn analysis indicates a retention rate of 96.9%, with 265 customers discontinuing service during the reporting period. Primary churn drivers included pricing concerns, accounting for 45% of total attrition. Proactive retention initiatives managed to save approximately 45% of at-risk customers through targeted engagement and service improvements.</w:t>
      </w:r>
    </w:p>
    <w:p>
      <w:pPr>
        <w:pStyle w:val="Heading2"/>
        <w:spacing w:before="180" w:after="100"/>
      </w:pPr>
      <w:r>
        <w:rPr>
          <w:b/>
          <w:bCs/>
          <w:sz w:val="24"/>
          <w:szCs w:val="24"/>
        </w:rPr>
        <w:t xml:space="preserve">KPI Analysis 4</w:t>
      </w:r>
    </w:p>
    <w:p>
      <w:pPr>
        <w:spacing w:after="200"/>
      </w:pPr>
      <w:r>
        <w:t xml:space="preserve">Regulatory risk assessment identified 19 areas requiring enhanced monitoring and control frameworks. The compliance team successfully addressed 6 previously identified issues while implementing 1 additional safeguards. All regulatory reporting obligations were met within prescribed deadlines, with zero material findings from external audits.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2"/>
        <w:spacing w:before="180" w:after="100"/>
      </w:pPr>
      <w:r>
        <w:rPr>
          <w:b/>
          <w:bCs/>
          <w:sz w:val="24"/>
          <w:szCs w:val="24"/>
        </w:rPr>
        <w:t xml:space="preserve">Challenge 2</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Fraud detection algorithm refinements resulted in a 45% improvement in identification accuracy while reducing false positive rates by 45%.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2"/>
        <w:spacing w:before="180" w:after="100"/>
      </w:pPr>
      <w:r>
        <w:rPr>
          <w:b/>
          <w:bCs/>
          <w:sz w:val="24"/>
          <w:szCs w:val="24"/>
        </w:rPr>
        <w:t xml:space="preserve">Recommendation 2</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16 months with projected annual savings of $530.1M upon full implementation.</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$530.1M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69ms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84.5%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$10.2M</w:t>
            </w:r>
          </w:p>
        </w:tc>
      </w:tr>
    </w:tbl>
    <w:p>
      <w:pPr>
        <w:pStyle w:val="Heading1"/>
        <w:spacing w:before="240" w:after="120"/>
      </w:pPr>
      <w:r>
        <w:rPr>
          <w:b/>
          <w:bCs/>
          <w:sz w:val="28"/>
          <w:szCs w:val="28"/>
        </w:rPr>
        <w:t xml:space="preserve">Conclusion</w:t>
      </w:r>
    </w:p>
    <w:p>
      <w:pPr>
        <w:spacing w:after="200"/>
      </w:pPr>
      <w:r>
        <w:t xml:space="preserve">In summary, Neptune Payments demonstrated solid performance during Q4 2024 with notable achievements in customer acquisition while navigating challenges in regulatory compliance. The strategic priorities for the coming quarter focus on improving user experience, supported by targeted investments in product innovation.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2026-02-05T08:24:45.306Z</dcterms:created>
  <dcterms:modified xsi:type="dcterms:W3CDTF">2026-02-05T08:24:45.306Z</dcterms:modified>
</cp:coreProperties>
</file>

<file path=docProps/custom.xml><?xml version="1.0" encoding="utf-8"?>
<Properties xmlns="http://schemas.openxmlformats.org/officeDocument/2006/custom-properties" xmlns:vt="http://schemas.openxmlformats.org/officeDocument/2006/docPropsVTypes"/>
</file>