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Atlas Credit performance during Q4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Regulatory Risk, Infra Cost, Customer Churn</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$510.2M representing a 22.0% growth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0.27% of total transaction volume. The fraud prevention systems successfully identified and blocked $4.0M in potentially fraudulent activities. Enhanced machine learning models contributed to a 22.0%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54ms across all payment channels, marking a 22.0% growth from prior benchmarks. The performance improvement can be attributed to algorithm improvements, which enhanced system throughput and reduced processing bottlenecks. Detailed analysis indicates that 33% of transactions completed within the target SLA threshold.</w:t>
      </w:r>
    </w:p>
    <w:p>
      <w:pPr>
        <w:pStyle w:val="Heading2"/>
        <w:spacing w:before="180" w:after="100"/>
      </w:pPr>
      <w:r>
        <w:rPr>
          <w:b/>
          <w:bCs/>
          <w:sz w:val="24"/>
          <w:szCs w:val="24"/>
        </w:rPr>
        <w:t xml:space="preserve">KPI Analysis 4</w:t>
      </w:r>
    </w:p>
    <w:p>
      <w:pPr>
        <w:spacing w:after="200"/>
      </w:pPr>
      <w:r>
        <w:t xml:space="preserve">Revenue generation for this period demonstrated strong momentum, with total realized revenue reaching $510.2M, representing a 22.0% growth compared to the previous quarter. This performance was primarily driven by market expansion, which contributed significantly to the overall financial outcome. The revenue trajectory indicates market opportunity,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10 opportunities for automation and simplification that could reduce average onboarding time by 33%.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$510.2M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$510.2M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Atlas Credit demonstrated solid performance during Q4 2024 with notable achievements in platform stability while navigating challenges in resource allocation. The strategic priorities for the coming quarter focus on optimizing costs,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2026-02-05T08:24:45.339Z</dcterms:created>
  <dcterms:modified xsi:type="dcterms:W3CDTF">2026-02-05T08:24:45.339Z</dcterms:modified>
</cp:coreProperties>
</file>

<file path=docProps/custom.xml><?xml version="1.0" encoding="utf-8"?>
<Properties xmlns="http://schemas.openxmlformats.org/officeDocument/2006/custom-properties" xmlns:vt="http://schemas.openxmlformats.org/officeDocument/2006/docPropsVTypes"/>
</file>