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95.0%, with 521 customers discontinuing service during the reporting period. Primary churn drivers included competitive offerings,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Credit approval rates achieved 0.29% during this quarter, processing a total of 18575 applications through automated and manual review channels. The approval criteria balanced risk appetite with growth objectives, resulting in a default rate of 2.25% among newly approved accounts. Underwriting efficiency improved by 13.2%, reducing average decision time to 23 hours.</w:t>
      </w:r>
    </w:p>
    <w:p>
      <w:pPr>
        <w:pStyle w:val="Heading2"/>
        <w:spacing w:before="180" w:after="100"/>
      </w:pPr>
      <w:r>
        <w:rPr>
          <w:b/>
          <w:bCs/>
          <w:sz w:val="24"/>
          <w:szCs w:val="24"/>
        </w:rPr>
        <w:t xml:space="preserve">KPI Analysis 3</w:t>
      </w:r>
    </w:p>
    <w:p>
      <w:pPr>
        <w:spacing w:after="200"/>
      </w:pPr>
      <w:r>
        <w:t xml:space="preserve">Regulatory risk assessment identified 12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0.29% of total transaction volume. The fraud prevention systems successfully identified and blocked $1.7M in potentially fraudulent activities. Enhanced machine learning models contributed to a 13.2%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46%, with 12 customers onboarded in the first 10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$482.4M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operational efficiency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2026-02-05T08:24:45.355Z</dcterms:created>
  <dcterms:modified xsi:type="dcterms:W3CDTF">2026-02-05T08:24:45.355Z</dcterms:modified>
</cp:coreProperties>
</file>

<file path=docProps/custom.xml><?xml version="1.0" encoding="utf-8"?>
<Properties xmlns="http://schemas.openxmlformats.org/officeDocument/2006/custom-properties" xmlns:vt="http://schemas.openxmlformats.org/officeDocument/2006/docPropsVTypes"/>
</file>