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Infra Cost</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$548.8M, representing a 14.5% increase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12 areas requiring enhanced monitoring and control frameworks. The compliance team successfully addressed 3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0.24% during this quarter, processing a total of 20571 applications through automated and manual review channels. The approval criteria balanced risk appetite with growth objectives, resulting in a default rate of 2.00% among newly approved accounts. Underwriting efficiency improved by 14.5%, reducing average decision time to 13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58ms across all payment channels, marking a 14.5% increase from prior benchmarks. The performance improvement can be attributed to algorithm improvements, which enhanced system throughput and reduced processing bottlenecks. Detailed analysis indicates that 24%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Fraud detection algorithm refinements resulted in a 24% improvement in identification accuracy while reducing false positive rates by 24%.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$548.8M upon full implementation.</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$548.8M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$548.8M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2026-02-05T08:24:45.370Z</dcterms:created>
  <dcterms:modified xsi:type="dcterms:W3CDTF">2026-02-05T08:24:45.370Z</dcterms:modified>
</cp:coreProperties>
</file>

<file path=docProps/custom.xml><?xml version="1.0" encoding="utf-8"?>
<Properties xmlns="http://schemas.openxmlformats.org/officeDocument/2006/custom-properties" xmlns:vt="http://schemas.openxmlformats.org/officeDocument/2006/docPropsVTypes"/>
</file>