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Regulatory Risk, Fraud Rate, Infra Cost, Revenue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$513.4M, representing a 6.1% increase compared to the previous quarter. This performance was primarily driven by customer acquisition,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75ms across all payment channels, marking a 6.1% increase from prior benchmarks. The performance improvement can be attributed to algorithm improvements,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3</w:t>
      </w:r>
    </w:p>
    <w:p>
      <w:pPr>
        <w:spacing w:after="200"/>
      </w:pPr>
      <w:r>
        <w:t xml:space="preserve">Regulatory risk assessment identified 8 areas requiring enhanced monitoring and control frameworks. The compliance team successfully addressed 6 previously identified issues while implementing 5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Fraud detection capabilities showed moderate performance this quarter, with the overall fraud rate measuring 0.14% of total transaction volume. The fraud prevention systems successfully identified and blocked $3.7M in potentially fraudulent activities. Enhanced machine learning models contributed to a 6.1%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$513.4M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7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$513.4M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data analytics.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2026-02-05T08:24:45.379Z</dcterms:created>
  <dcterms:modified xsi:type="dcterms:W3CDTF">2026-02-05T08:24:45.379Z</dcterms:modified>
</cp:coreProperties>
</file>

<file path=docProps/custom.xml><?xml version="1.0" encoding="utf-8"?>
<Properties xmlns="http://schemas.openxmlformats.org/officeDocument/2006/custom-properties" xmlns:vt="http://schemas.openxmlformats.org/officeDocument/2006/docPropsVTypes"/>
</file>