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Infra Cost, Approval Rate, Transaction Latency</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52ms across all payment channels, marking a 7.6% increase from prior benchmarks. The performance improvement can be attributed to caching strategies, which enhanced system throughput and reduced processing bottlenecks. Detailed analysis indicates that 26%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0.37% during this quarter, processing a total of 51503 applications through automated and manual review channels. The approval criteria balanced risk appetite with growth objectives, resulting in a default rate of 1.24% among newly approved accounts. Underwriting efficiency improved by 7.6%, reducing average decision time to 18 hours.</w:t>
      </w:r>
    </w:p>
    <w:p>
      <w:pPr>
        <w:pStyle w:val="Heading2"/>
        <w:spacing w:before="180" w:after="100"/>
      </w:pPr>
      <w:r>
        <w:rPr>
          <w:b/>
          <w:bCs/>
          <w:sz w:val="24"/>
          <w:szCs w:val="24"/>
        </w:rPr>
        <w:t xml:space="preserve">KPI Analysis 3</w:t>
      </w:r>
    </w:p>
    <w:p>
      <w:pPr>
        <w:spacing w:after="200"/>
      </w:pPr>
      <w:r>
        <w:t xml:space="preserve">Revenue generation for this period demonstrated strong momentum, with total realized revenue reaching $454.4M, representing a 7.6% increase compared to the previous quarter. This performance was primarily driven by pricing optimization,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$454.4M representing a 7.6% increase from forecast. Cloud resource optimization, improved capacity planning, and strategic vendor negotiations contributed to the cost efficiency gains. The cost-per-transaction metric improved to $0.058,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26%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Cost optimization programs exceeded targets, delivering $454.4M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$454.4M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$454.4M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2026-02-05T08:24:45.462Z</dcterms:created>
  <dcterms:modified xsi:type="dcterms:W3CDTF">2026-02-05T08:24:45.462Z</dcterms:modified>
</cp:coreProperties>
</file>

<file path=docProps/custom.xml><?xml version="1.0" encoding="utf-8"?>
<Properties xmlns="http://schemas.openxmlformats.org/officeDocument/2006/custom-properties" xmlns:vt="http://schemas.openxmlformats.org/officeDocument/2006/docPropsVTypes"/>
</file>