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Risk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FEB-24Q4-0050</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2024-12-15</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Q4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Orion Fraud</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Meera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Compliance Head</w:t>
            </w:r>
          </w:p>
        </w:tc>
      </w:tr>
    </w:tbl>
    <w:p>
      <w:pPr>
        <w:spacing w:after="300"/>
      </w:pPr>
    </w:p>
    <w:p>
      <w:pPr>
        <w:pStyle w:val="Heading1"/>
        <w:spacing w:before="240" w:after="120"/>
      </w:pPr>
      <w:r>
        <w:rPr>
          <w:b/>
          <w:bCs/>
          <w:sz w:val="28"/>
          <w:szCs w:val="28"/>
        </w:rPr>
        <w:t xml:space="preserve">Executive Summary</w:t>
      </w:r>
    </w:p>
    <w:p>
      <w:pPr>
        <w:spacing w:after="200"/>
      </w:pPr>
      <w:r>
        <w:t xml:space="preserve">This comprehensive report provides an in-depth analysis of Orion Fraud performance during Q4 2024. The evaluation encompasses multiple dimensions including operational efficiency, financial metrics, risk exposure, and strategic alignment with organizational objectives.</w:t>
      </w:r>
    </w:p>
    <w:p>
      <w:pPr>
        <w:pStyle w:val="Heading1"/>
        <w:spacing w:before="240" w:after="120"/>
      </w:pPr>
      <w:r>
        <w:rPr>
          <w:b/>
          <w:bCs/>
          <w:sz w:val="28"/>
          <w:szCs w:val="28"/>
        </w:rPr>
        <w:t xml:space="preserve">Key Performance Indicators</w:t>
      </w:r>
    </w:p>
    <w:p>
      <w:pPr>
        <w:spacing w:after="200"/>
      </w:pPr>
      <w:r>
        <w:rPr>
          <w:i/>
          <w:iCs/>
        </w:rPr>
        <w:t xml:space="preserve">Focus Areas: Approval Rate, Infra Cost, Customer Churn, Transaction Latency, Regulatory Risk</w:t>
      </w:r>
    </w:p>
    <w:p>
      <w:pPr>
        <w:pStyle w:val="Heading2"/>
        <w:spacing w:before="180" w:after="100"/>
      </w:pPr>
      <w:r>
        <w:rPr>
          <w:b/>
          <w:bCs/>
          <w:sz w:val="24"/>
          <w:szCs w:val="24"/>
        </w:rPr>
        <w:t xml:space="preserve">KPI Analysis 1</w:t>
      </w:r>
    </w:p>
    <w:p>
      <w:pPr>
        <w:spacing w:after="200"/>
      </w:pPr>
      <w:r>
        <w:t xml:space="preserve">Customer churn analysis indicates a retention rate of 93.0%, with 449 customers discontinuing service during the reporting period. Primary churn drivers included competitive offerings, accounting for 33% of total attrition. Proactive retention initiatives managed to save approximately 33% of at-risk customers through targeted engagement and service improvements.</w:t>
      </w:r>
    </w:p>
    <w:p>
      <w:pPr>
        <w:pStyle w:val="Heading2"/>
        <w:spacing w:before="180" w:after="100"/>
      </w:pPr>
      <w:r>
        <w:rPr>
          <w:b/>
          <w:bCs/>
          <w:sz w:val="24"/>
          <w:szCs w:val="24"/>
        </w:rPr>
        <w:t xml:space="preserve">KPI Analysis 2</w:t>
      </w:r>
    </w:p>
    <w:p>
      <w:pPr>
        <w:spacing w:after="200"/>
      </w:pPr>
      <w:r>
        <w:t xml:space="preserve">Transaction latency metrics revealed an average response time of 59ms across all payment channels, marking a 24.7% improvement from prior benchmarks. The performance improvement can be attributed to database tuning, which enhanced system throughput and reduced processing bottlenecks. Detailed analysis indicates that 33% of transactions completed within the target SLA threshold.</w:t>
      </w:r>
    </w:p>
    <w:p>
      <w:pPr>
        <w:pStyle w:val="Heading2"/>
        <w:spacing w:before="180" w:after="100"/>
      </w:pPr>
      <w:r>
        <w:rPr>
          <w:b/>
          <w:bCs/>
          <w:sz w:val="24"/>
          <w:szCs w:val="24"/>
        </w:rPr>
        <w:t xml:space="preserve">KPI Analysis 3</w:t>
      </w:r>
    </w:p>
    <w:p>
      <w:pPr>
        <w:spacing w:after="200"/>
      </w:pPr>
      <w:r>
        <w:t xml:space="preserve">Revenue generation for this period demonstrated stable momentum, with total realized revenue reaching $529.8M, representing a 24.7% improvement compared to the previous quarter. This performance was primarily driven by market expansion, which contributed significantly to the overall financial outcome. The revenue trajectory indicates positive momentum, suggesting sustained momentum in market penetration and customer value realization.</w:t>
      </w:r>
    </w:p>
    <w:p>
      <w:pPr>
        <w:pStyle w:val="Heading2"/>
        <w:spacing w:before="180" w:after="100"/>
      </w:pPr>
      <w:r>
        <w:rPr>
          <w:b/>
          <w:bCs/>
          <w:sz w:val="24"/>
          <w:szCs w:val="24"/>
        </w:rPr>
        <w:t xml:space="preserve">KPI Analysis 4</w:t>
      </w:r>
    </w:p>
    <w:p>
      <w:pPr>
        <w:spacing w:after="200"/>
      </w:pPr>
      <w:r>
        <w:t xml:space="preserve">Infrastructure cost optimization initiatives yielded significant results, with total operational expenditure of $529.8M representing a 24.7% improvement from forecast. Cloud resource optimization, improved capacity planning, and strategic vendor negotiations contributed to the cost efficiency gains. The cost-per-transaction metric improved to $0.034, supporting improved unit economics.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Third-party vendor performance fell short of contractual service level agreements in several instances, impacting downstream system availability and user experience. The vendor management team initiated formal performance improvement plans and explored alternative provider options to mitigate dependency risks and ensure service reliability.</w:t>
      </w:r>
    </w:p>
    <w:p>
      <w:pPr>
        <w:pStyle w:val="Heading2"/>
        <w:spacing w:before="180" w:after="100"/>
      </w:pPr>
      <w:r>
        <w:rPr>
          <w:b/>
          <w:bCs/>
          <w:sz w:val="24"/>
          <w:szCs w:val="24"/>
        </w:rPr>
        <w:t xml:space="preserve">Challenge 2</w:t>
      </w:r>
    </w:p>
    <w:p>
      <w:pPr>
        <w:spacing w:after="200"/>
      </w:pPr>
      <w:r>
        <w:t xml:space="preserve">Data quality issues in the customer information database created complications for analytics and reporting workflows. Approximately 33% of records required remediation due to incomplete or inconsistent data elements. A comprehensive data cleansing initiative was launched, establishing new validation protocols and improving upstream data capture mechanisms.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2"/>
        <w:spacing w:before="180" w:after="100"/>
      </w:pPr>
      <w:r>
        <w:rPr>
          <w:b/>
          <w:bCs/>
          <w:sz w:val="24"/>
          <w:szCs w:val="24"/>
        </w:rPr>
        <w:t xml:space="preserve">Achievement 2</w:t>
      </w:r>
    </w:p>
    <w:p>
      <w:pPr>
        <w:spacing w:after="200"/>
      </w:pPr>
      <w:r>
        <w:t xml:space="preserve">Strategic partnership establishment with a leading technology provider unlocked new capabilities and market opportunities. The collaboration agreement enables access to advanced analytics tools and expands the addressable customer segment. Initial pilot programs demonstrated strong customer interest and validated the strategic value of the partnership arrangement.</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Strengthen cybersecurity posture through enhanced monitoring tools, incident response capabilities, and security awareness training programs. The threat landscape evolution requires continuous investment in defensive capabilities and proactive threat hunting. Recommended budget allocation of $529.8M annually to maintain appropriate security maturity level.</w:t>
      </w:r>
    </w:p>
    <w:p>
      <w:pPr>
        <w:pStyle w:val="Heading2"/>
        <w:spacing w:before="180" w:after="100"/>
      </w:pPr>
      <w:r>
        <w:rPr>
          <w:b/>
          <w:bCs/>
          <w:sz w:val="24"/>
          <w:szCs w:val="24"/>
        </w:rPr>
        <w:t xml:space="preserve">Recommendation 2</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14 months with projected annual savings of $529.8M upon full implementation.</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$529.8M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59ms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82.6%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$9.7M</w:t>
            </w:r>
          </w:p>
        </w:tc>
      </w:tr>
    </w:tbl>
    <w:p>
      <w:pPr>
        <w:pStyle w:val="Heading1"/>
        <w:spacing w:before="240" w:after="120"/>
      </w:pPr>
      <w:r>
        <w:rPr>
          <w:b/>
          <w:bCs/>
          <w:sz w:val="28"/>
          <w:szCs w:val="28"/>
        </w:rPr>
        <w:t xml:space="preserve">Conclusion</w:t>
      </w:r>
    </w:p>
    <w:p>
      <w:pPr>
        <w:spacing w:after="200"/>
      </w:pPr>
      <w:r>
        <w:t xml:space="preserve">The comprehensive analysis presented in this report indicates that Orion Fraud is on a positive trajectory toward achieving its strategic objectives. The combination of strong fundamental performance, proactive risk management, and continuous improvement initiatives creates foundation for long-term success. Ongoing monitoring of key metrics and adaptive strategy execution will ensure sustained momentum.</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2026-02-05T08:24:45.516Z</dcterms:created>
  <dcterms:modified xsi:type="dcterms:W3CDTF">2026-02-05T08:24:45.516Z</dcterms:modified>
</cp:coreProperties>
</file>

<file path=docProps/custom.xml><?xml version="1.0" encoding="utf-8"?>
<Properties xmlns="http://schemas.openxmlformats.org/officeDocument/2006/custom-properties" xmlns:vt="http://schemas.openxmlformats.org/officeDocument/2006/docPropsVTypes"/>
</file>