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Compliance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FEB-25Q4-0003</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2025-12-09</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Atlas Credit activities throughout Q4 2025.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Infra Cost, Customer Churn, Regulatory Risk, Transaction Latency, Revenue</w:t>
      </w:r>
    </w:p>
    <w:p>
      <w:pPr>
        <w:pStyle w:val="Heading2"/>
        <w:spacing w:before="180" w:after="100"/>
      </w:pPr>
      <w:r>
        <w:rPr>
          <w:b/>
          <w:bCs/>
          <w:sz w:val="24"/>
          <w:szCs w:val="24"/>
        </w:rPr>
        <w:t xml:space="preserve">KPI Analysis 1</w:t>
      </w:r>
    </w:p>
    <w:p>
      <w:pPr>
        <w:spacing w:after="200"/>
      </w:pPr>
      <w:r>
        <w:t xml:space="preserve">Revenue generation for this period demonstrated improving momentum, with total realized revenue reaching $920.6M, representing a 13.3% improvement compared to the previous quarter. This performance was primarily driven by market expansion,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Transaction latency metrics revealed an average response time of 69ms across all payment channels, marking a 13.3% improvement from prior benchmarks. The performance improvement can be attributed to algorithm improvements, which enhanced system throughput and reduced processing bottlenecks. Detailed analysis indicates that 23% of transactions completed within the target SLA threshold.</w:t>
      </w:r>
    </w:p>
    <w:p>
      <w:pPr>
        <w:pStyle w:val="Heading2"/>
        <w:spacing w:before="180" w:after="100"/>
      </w:pPr>
      <w:r>
        <w:rPr>
          <w:b/>
          <w:bCs/>
          <w:sz w:val="24"/>
          <w:szCs w:val="24"/>
        </w:rPr>
        <w:t xml:space="preserve">KPI Analysis 3</w:t>
      </w:r>
    </w:p>
    <w:p>
      <w:pPr>
        <w:spacing w:after="200"/>
      </w:pPr>
      <w:r>
        <w:t xml:space="preserve">Fraud detection capabilities showed improving performance this quarter, with the overall fraud rate measuring 0.25% of total transaction volume. The fraud prevention systems successfully identified and blocked $3.5M in potentially fraudulent activities. Enhanced machine learning models contributed to a 13.3%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Customer churn analysis indicates a retention rate of 93.9%, with 422 customers discontinuing service during the reporting period. Primary churn drivers included service issues, accounting for 23% of total attrition. Proactive retention initiatives managed to save approximately 23%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23%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23%, with 13 customers onboarded in the first 22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Fraud detection algorithm refinements resulted in a 23% improvement in identification accuracy while reducing false positive rates by 23%.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2"/>
        <w:spacing w:before="180" w:after="100"/>
      </w:pPr>
      <w:r>
        <w:rPr>
          <w:b/>
          <w:bCs/>
          <w:sz w:val="24"/>
          <w:szCs w:val="24"/>
        </w:rPr>
        <w:t xml:space="preserve">Recommendation 2</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$920.6M with focus on technical and leadership capability development.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$920.6M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76.8%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$8.3M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2026-02-05T08:24:46.838Z</dcterms:created>
  <dcterms:modified xsi:type="dcterms:W3CDTF">2026-02-05T08:24:46.838Z</dcterms:modified>
</cp:coreProperties>
</file>

<file path=docProps/custom.xml><?xml version="1.0" encoding="utf-8"?>
<Properties xmlns="http://schemas.openxmlformats.org/officeDocument/2006/custom-properties" xmlns:vt="http://schemas.openxmlformats.org/officeDocument/2006/docPropsVTypes"/>
</file>