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FEB-25Q4-0016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Q4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Infra Cost</w:t>
      </w:r>
    </w:p>
    <w:p>
      <w:pPr>
        <w:pStyle w:val="Heading2"/>
        <w:spacing w:before="180" w:after="100"/>
      </w:pPr>
      <w:r>
        <w:rPr>
          <w:b/>
          <w:bCs/>
          <w:sz w:val="24"/>
          <w:szCs w:val="24"/>
        </w:rPr>
        <w:t xml:space="preserve">KPI Analysis 1</w:t>
      </w:r>
    </w:p>
    <w:p>
      <w:pPr>
        <w:spacing w:after="200"/>
      </w:pPr>
      <w:r>
        <w:t xml:space="preserve">Credit approval rates achieved 0.19% during this quarter, processing a total of 24775 applications through automated and manual review channels. The approval criteria balanced risk appetite with growth objectives, resulting in a default rate of 1.50% among newly approved accounts. Underwriting efficiency improved by 12.8%, reducing average decision time to 14 hours.</w:t>
      </w:r>
    </w:p>
    <w:p>
      <w:pPr>
        <w:pStyle w:val="Heading2"/>
        <w:spacing w:before="180" w:after="100"/>
      </w:pPr>
      <w:r>
        <w:rPr>
          <w:b/>
          <w:bCs/>
          <w:sz w:val="24"/>
          <w:szCs w:val="24"/>
        </w:rPr>
        <w:t xml:space="preserve">KPI Analysis 2</w:t>
      </w:r>
    </w:p>
    <w:p>
      <w:pPr>
        <w:spacing w:after="200"/>
      </w:pPr>
      <w:r>
        <w:t xml:space="preserve">Customer churn analysis indicates a retention rate of 93.7%, with 580 customers discontinuing service during the reporting period. Primary churn drivers included support quality, accounting for 18% of total attrition. Proactive retention initiatives managed to save approximately 18%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$861.1M representing a 12.8% improvement from forecast. Cloud resource optimization, improved capacity planning, and strategic vendor negotiations contributed to the cost efficiency gains. The cost-per-transaction metric improved to $0.063, supporting improved unit economics.</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0.19% of total transaction volume. The fraud prevention systems successfully identified and blocked $3.6M in potentially fraudulent activities. Enhanced machine learning models contributed to a 12.8%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18%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12 opportunities for automation and simplification that could reduce average onboarding time by 18%.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$861.1M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$861.1M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2026-02-05T08:24:46.937Z</dcterms:created>
  <dcterms:modified xsi:type="dcterms:W3CDTF">2026-02-05T08:24:46.937Z</dcterms:modified>
</cp:coreProperties>
</file>

<file path=docProps/custom.xml><?xml version="1.0" encoding="utf-8"?>
<Properties xmlns="http://schemas.openxmlformats.org/officeDocument/2006/custom-properties" xmlns:vt="http://schemas.openxmlformats.org/officeDocument/2006/docPropsVTypes"/>
</file>