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Customer Insights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FEB-25Q4-0018</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2025-12-27</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Q4 2025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Neptune Payments</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Rohit</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Data Lead</w:t>
            </w:r>
          </w:p>
        </w:tc>
      </w:tr>
    </w:tbl>
    <w:p>
      <w:pPr>
        <w:spacing w:after="300"/>
      </w:pPr>
    </w:p>
    <w:p>
      <w:pPr>
        <w:pStyle w:val="Heading1"/>
        <w:spacing w:before="240" w:after="120"/>
      </w:pPr>
      <w:r>
        <w:rPr>
          <w:b/>
          <w:bCs/>
          <w:sz w:val="28"/>
          <w:szCs w:val="28"/>
        </w:rPr>
        <w:t xml:space="preserve">Executive Summary</w:t>
      </w:r>
    </w:p>
    <w:p>
      <w:pPr>
        <w:spacing w:after="200"/>
      </w:pPr>
      <w:r>
        <w:t xml:space="preserve">This report documents the operational and strategic performance of Neptune Payments throughout Q4 2025. The analysis examines key performance indicators, evaluates risk factors, and assesses alignment with enterprise-wide objectives and compliance requirements.</w:t>
      </w:r>
    </w:p>
    <w:p>
      <w:pPr>
        <w:pStyle w:val="Heading1"/>
        <w:spacing w:before="240" w:after="120"/>
      </w:pPr>
      <w:r>
        <w:rPr>
          <w:b/>
          <w:bCs/>
          <w:sz w:val="28"/>
          <w:szCs w:val="28"/>
        </w:rPr>
        <w:t xml:space="preserve">Key Performance Indicators</w:t>
      </w:r>
    </w:p>
    <w:p>
      <w:pPr>
        <w:spacing w:after="200"/>
      </w:pPr>
      <w:r>
        <w:rPr>
          <w:i/>
          <w:iCs/>
        </w:rPr>
        <w:t xml:space="preserve">Focus Areas: Customer Churn, Infra Cost, Transaction Latency</w:t>
      </w:r>
    </w:p>
    <w:p>
      <w:pPr>
        <w:pStyle w:val="Heading2"/>
        <w:spacing w:before="180" w:after="100"/>
      </w:pPr>
      <w:r>
        <w:rPr>
          <w:b/>
          <w:bCs/>
          <w:sz w:val="24"/>
          <w:szCs w:val="24"/>
        </w:rPr>
        <w:t xml:space="preserve">KPI Analysis 1</w:t>
      </w:r>
    </w:p>
    <w:p>
      <w:pPr>
        <w:spacing w:after="200"/>
      </w:pPr>
      <w:r>
        <w:t xml:space="preserve">Customer churn analysis indicates a retention rate of 94.8%, with 111 customers discontinuing service during the reporting period. Primary churn drivers included pricing concerns, accounting for 16% of total attrition. Proactive retention initiatives managed to save approximately 16% of at-risk customers through targeted engagement and service improvements.</w:t>
      </w:r>
    </w:p>
    <w:p>
      <w:pPr>
        <w:pStyle w:val="Heading2"/>
        <w:spacing w:before="180" w:after="100"/>
      </w:pPr>
      <w:r>
        <w:rPr>
          <w:b/>
          <w:bCs/>
          <w:sz w:val="24"/>
          <w:szCs w:val="24"/>
        </w:rPr>
        <w:t xml:space="preserve">KPI Analysis 2</w:t>
      </w:r>
    </w:p>
    <w:p>
      <w:pPr>
        <w:spacing w:after="200"/>
      </w:pPr>
      <w:r>
        <w:t xml:space="preserve">Fraud detection capabilities showed stable performance this quarter, with the overall fraud rate measuring 0.16% of total transaction volume. The fraud prevention systems successfully identified and blocked $1.9M in potentially fraudulent activities. Enhanced machine learning models contributed to a 7.7% improvement in detection accuracy while maintaining low false positive rates.</w:t>
      </w:r>
    </w:p>
    <w:p>
      <w:pPr>
        <w:pStyle w:val="Heading2"/>
        <w:spacing w:before="180" w:after="100"/>
      </w:pPr>
      <w:r>
        <w:rPr>
          <w:b/>
          <w:bCs/>
          <w:sz w:val="24"/>
          <w:szCs w:val="24"/>
        </w:rPr>
        <w:t xml:space="preserve">KPI Analysis 3</w:t>
      </w:r>
    </w:p>
    <w:p>
      <w:pPr>
        <w:spacing w:after="200"/>
      </w:pPr>
      <w:r>
        <w:t xml:space="preserve">Transaction latency metrics revealed an average response time of 64ms across all payment channels, marking a 7.7% growth from prior benchmarks. The performance improvement can be attributed to algorithm improvements, which enhanced system throughput and reduced processing bottlenecks. Detailed analysis indicates that 16% of transactions completed within the target SLA threshold.</w:t>
      </w:r>
    </w:p>
    <w:p>
      <w:pPr>
        <w:pStyle w:val="Heading2"/>
        <w:spacing w:before="180" w:after="100"/>
      </w:pPr>
      <w:r>
        <w:rPr>
          <w:b/>
          <w:bCs/>
          <w:sz w:val="24"/>
          <w:szCs w:val="24"/>
        </w:rPr>
        <w:t xml:space="preserve">KPI Analysis 4</w:t>
      </w:r>
    </w:p>
    <w:p>
      <w:pPr>
        <w:spacing w:after="200"/>
      </w:pPr>
      <w:r>
        <w:t xml:space="preserve">Infrastructure cost optimization initiatives yielded significant results, with total operational expenditure of $935.3M representing a 7.7% growth from forecast. Cloud resource optimization, improved capacity planning, and strategic vendor negotiations contributed to the cost efficiency gains. The cost-per-transaction metric improved to $0.034, supporting improved unit economics.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Several operational challenges emerged during the quarter that required immediate attention and remediation. System scalability constraints became apparent during peak transaction periods, necessitating infrastructure upgrades and architectural refinements. The engineering team implemented emergency capacity enhancements while developing longer-term solutions to address underlying limitations.</w:t>
      </w:r>
    </w:p>
    <w:p>
      <w:pPr>
        <w:pStyle w:val="Heading2"/>
        <w:spacing w:before="180" w:after="100"/>
      </w:pPr>
      <w:r>
        <w:rPr>
          <w:b/>
          <w:bCs/>
          <w:sz w:val="24"/>
          <w:szCs w:val="24"/>
        </w:rPr>
        <w:t xml:space="preserve">Challenge 2</w:t>
      </w:r>
    </w:p>
    <w:p>
      <w:pPr>
        <w:spacing w:after="200"/>
      </w:pPr>
      <w:r>
        <w:t xml:space="preserve">Regulatory landscape changes introduced new compliance requirements that necessitated rapid policy updates and system modifications. The compressed implementation timeline created resource allocation challenges and required coordination across multiple functional teams. Despite these constraints, all mandatory changes were deployed successfully ahead of enforcement deadlines.</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Customer satisfaction scores reached an all-time high of 7.8 out of 10, reflecting successful execution of experience enhancement initiatives. Detailed survey feedback highlighted improvements in platform usability, support responsiveness, and feature completeness. The positive sentiment creates strong foundation for customer lifetime value expansion and referral generation.</w:t>
      </w:r>
    </w:p>
    <w:p>
      <w:pPr>
        <w:pStyle w:val="Heading2"/>
        <w:spacing w:before="180" w:after="100"/>
      </w:pPr>
      <w:r>
        <w:rPr>
          <w:b/>
          <w:bCs/>
          <w:sz w:val="24"/>
          <w:szCs w:val="24"/>
        </w:rPr>
        <w:t xml:space="preserve">Achievement 2</w:t>
      </w:r>
    </w:p>
    <w:p>
      <w:pPr>
        <w:spacing w:after="200"/>
      </w:pPr>
      <w:r>
        <w:t xml:space="preserve">Strategic partnership establishment with a leading technology provider unlocked new capabilities and market opportunities. The collaboration agreement enables access to advanced analytics tools and expands the addressable customer segment. Initial pilot programs demonstrated strong customer interest and validated the strategic value of the partnership arrangement.</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Optimize customer onboarding workflows to reduce friction and improve conversion rates. Current process analysis identified 7 opportunities for automation and simplification that could reduce average onboarding time by 16%. Improved onboarding experience will positively impact customer acquisition costs and lifetime value metrics.</w:t>
      </w:r>
    </w:p>
    <w:p>
      <w:pPr>
        <w:pStyle w:val="Heading2"/>
        <w:spacing w:before="180" w:after="100"/>
      </w:pPr>
      <w:r>
        <w:rPr>
          <w:b/>
          <w:bCs/>
          <w:sz w:val="24"/>
          <w:szCs w:val="24"/>
        </w:rPr>
        <w:t xml:space="preserve">Recommendation 2</w:t>
      </w:r>
    </w:p>
    <w:p>
      <w:pPr>
        <w:spacing w:after="200"/>
      </w:pPr>
      <w:r>
        <w:t xml:space="preserve">Strengthen cybersecurity posture through enhanced monitoring tools, incident response capabilities, and security awareness training programs. The threat landscape evolution requires continuous investment in defensive capabilities and proactive threat hunting. Recommended budget allocation of $935.3M annually to maintain appropriate security maturity level.</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$935.3M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64ms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0.16%</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5.2%</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78.4%</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$9.8M</w:t>
            </w:r>
          </w:p>
        </w:tc>
      </w:tr>
    </w:tbl>
    <w:p>
      <w:pPr>
        <w:pStyle w:val="Heading1"/>
        <w:spacing w:before="240" w:after="120"/>
      </w:pPr>
      <w:r>
        <w:rPr>
          <w:b/>
          <w:bCs/>
          <w:sz w:val="28"/>
          <w:szCs w:val="28"/>
        </w:rPr>
        <w:t xml:space="preserve">Conclusion</w:t>
      </w:r>
    </w:p>
    <w:p>
      <w:pPr>
        <w:spacing w:after="200"/>
      </w:pPr>
      <w:r>
        <w:t xml:space="preserve">The comprehensive analysis presented in this report indicates that Neptune Payments is on a positive trajectory toward achieving its strategic objectives. The combination of strong fundamental performance, proactive risk management, and continuous improvement initiatives creates foundation for long-term success. Ongoing monitoring of key metrics and adaptive strategy execution will ensure sustained momentum.</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2026-02-05T08:24:46.950Z</dcterms:created>
  <dcterms:modified xsi:type="dcterms:W3CDTF">2026-02-05T08:24:46.950Z</dcterms:modified>
</cp:coreProperties>
</file>

<file path=docProps/custom.xml><?xml version="1.0" encoding="utf-8"?>
<Properties xmlns="http://schemas.openxmlformats.org/officeDocument/2006/custom-properties" xmlns:vt="http://schemas.openxmlformats.org/officeDocument/2006/docPropsVTypes"/>
</file>