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2"/>
          <w:szCs w:val="32"/>
        </w:rPr>
        <w:t xml:space="preserve">FinEdge Bank</w:t>
      </w:r>
    </w:p>
    <w:p>
      <w:pPr>
        <w:spacing w:after="400"/>
        <w:jc w:val="center"/>
      </w:pPr>
      <w:r>
        <w:rPr>
          <w:sz w:val="28"/>
          <w:szCs w:val="28"/>
        </w:rPr>
        <w:t xml:space="preserve">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Report ID</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FEB-25Q4-0020</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Date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2025-11-11</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Quarter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Q4 2025</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Project</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Neptune Payments</w:t>
            </w:r>
          </w:p>
        </w:tc>
      </w:tr>
      <w:tr>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Rohit</w:t>
            </w:r>
          </w:p>
        </w:tc>
        <w:tc>
          <w:tcPr>
            <w:tcW w:type="dxa" w:w="234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Role</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Data Lead</w:t>
            </w:r>
          </w:p>
        </w:tc>
      </w:tr>
    </w:tbl>
    <w:p>
      <w:pPr>
        <w:spacing w:after="300"/>
      </w:pPr>
    </w:p>
    <w:p>
      <w:pPr>
        <w:pStyle w:val="Heading1"/>
        <w:spacing w:before="240" w:after="120"/>
      </w:pPr>
      <w:r>
        <w:rPr>
          <w:b/>
          <w:bCs/>
          <w:sz w:val="28"/>
          <w:szCs w:val="28"/>
        </w:rPr>
        <w:t xml:space="preserve">Executive Summary</w:t>
      </w:r>
    </w:p>
    <w:p>
      <w:pPr>
        <w:spacing w:after="200"/>
      </w:pPr>
      <w:r>
        <w:t xml:space="preserve">This analytical review focuses on Neptune Payments outcomes achieved during Q4 2025. The report synthesizes data from multiple sources to present a holistic view of project performance, resource utilization, and strategic value delivery.</w:t>
      </w:r>
    </w:p>
    <w:p>
      <w:pPr>
        <w:pStyle w:val="Heading1"/>
        <w:spacing w:before="240" w:after="120"/>
      </w:pPr>
      <w:r>
        <w:rPr>
          <w:b/>
          <w:bCs/>
          <w:sz w:val="28"/>
          <w:szCs w:val="28"/>
        </w:rPr>
        <w:t xml:space="preserve">Key Performance Indicators</w:t>
      </w:r>
    </w:p>
    <w:p>
      <w:pPr>
        <w:spacing w:after="200"/>
      </w:pPr>
      <w:r>
        <w:rPr>
          <w:i/>
          <w:iCs/>
        </w:rPr>
        <w:t xml:space="preserve">Focus Areas: Transaction Latency, Fraud Rate, Customer Churn, Approval Rate</w:t>
      </w:r>
    </w:p>
    <w:p>
      <w:pPr>
        <w:pStyle w:val="Heading2"/>
        <w:spacing w:before="180" w:after="100"/>
      </w:pPr>
      <w:r>
        <w:rPr>
          <w:b/>
          <w:bCs/>
          <w:sz w:val="24"/>
          <w:szCs w:val="24"/>
        </w:rPr>
        <w:t xml:space="preserve">KPI Analysis 1</w:t>
      </w:r>
    </w:p>
    <w:p>
      <w:pPr>
        <w:spacing w:after="200"/>
      </w:pPr>
      <w:r>
        <w:t xml:space="preserve">Transaction latency metrics revealed an average response time of 62ms across all payment channels, marking a 12.3% improvement from prior benchmarks. The performance improvement can be attributed to infrastructure optimization, which enhanced system throughput and reduced processing bottlenecks. Detailed analysis indicates that 16% of transactions completed within the target SLA threshold.</w:t>
      </w:r>
    </w:p>
    <w:p>
      <w:pPr>
        <w:pStyle w:val="Heading2"/>
        <w:spacing w:before="180" w:after="100"/>
      </w:pPr>
      <w:r>
        <w:rPr>
          <w:b/>
          <w:bCs/>
          <w:sz w:val="24"/>
          <w:szCs w:val="24"/>
        </w:rPr>
        <w:t xml:space="preserve">KPI Analysis 2</w:t>
      </w:r>
    </w:p>
    <w:p>
      <w:pPr>
        <w:spacing w:after="200"/>
      </w:pPr>
      <w:r>
        <w:t xml:space="preserve">Customer churn analysis indicates a retention rate of 95.2%, with 380 customers discontinuing service during the reporting period. Primary churn drivers included service issues, accounting for 16% of total attrition. Proactive retention initiatives managed to save approximately 16% of at-risk customers through targeted engagement and service improvements.</w:t>
      </w:r>
    </w:p>
    <w:p>
      <w:pPr>
        <w:pStyle w:val="Heading2"/>
        <w:spacing w:before="180" w:after="100"/>
      </w:pPr>
      <w:r>
        <w:rPr>
          <w:b/>
          <w:bCs/>
          <w:sz w:val="24"/>
          <w:szCs w:val="24"/>
        </w:rPr>
        <w:t xml:space="preserve">KPI Analysis 3</w:t>
      </w:r>
    </w:p>
    <w:p>
      <w:pPr>
        <w:spacing w:after="200"/>
      </w:pPr>
      <w:r>
        <w:t xml:space="preserve">Credit approval rates achieved 0.40% during this quarter, processing a total of 58075 applications through automated and manual review channels. The approval criteria balanced risk appetite with growth objectives, resulting in a default rate of 1.03% among newly approved accounts. Underwriting efficiency improved by 12.3%, reducing average decision time to 12 hours.</w:t>
      </w:r>
    </w:p>
    <w:p>
      <w:pPr>
        <w:pStyle w:val="Heading2"/>
        <w:spacing w:before="180" w:after="100"/>
      </w:pPr>
      <w:r>
        <w:rPr>
          <w:b/>
          <w:bCs/>
          <w:sz w:val="24"/>
          <w:szCs w:val="24"/>
        </w:rPr>
        <w:t xml:space="preserve">KPI Analysis 4</w:t>
      </w:r>
    </w:p>
    <w:p>
      <w:pPr>
        <w:spacing w:after="200"/>
      </w:pPr>
      <w:r>
        <w:t xml:space="preserve">Fraud detection capabilities showed improving performance this quarter, with the overall fraud rate measuring 0.40% of total transaction volume. The fraud prevention systems successfully identified and blocked $3.6M in potentially fraudulent activities. Enhanced machine learning models contributed to a 12.3% improvement in detection accuracy while maintaining low false positive rates.</w:t>
      </w:r>
    </w:p>
    <w:p>
      <w:pPr>
        <w:pStyle w:val="Heading1"/>
        <w:spacing w:before="240" w:after="120"/>
      </w:pPr>
      <w:r>
        <w:rPr>
          <w:b/>
          <w:bCs/>
          <w:sz w:val="28"/>
          <w:szCs w:val="28"/>
        </w:rPr>
        <w:t xml:space="preserve">Challenges and Mitigation</w:t>
      </w:r>
    </w:p>
    <w:p>
      <w:pPr>
        <w:pStyle w:val="Heading2"/>
        <w:spacing w:before="180" w:after="100"/>
      </w:pPr>
      <w:r>
        <w:rPr>
          <w:b/>
          <w:bCs/>
          <w:sz w:val="24"/>
          <w:szCs w:val="24"/>
        </w:rPr>
        <w:t xml:space="preserve">Challenge 1</w:t>
      </w:r>
    </w:p>
    <w:p>
      <w:pPr>
        <w:spacing w:after="200"/>
      </w:pPr>
      <w:r>
        <w:t xml:space="preserve">Regulatory landscape changes introduced new compliance requirements that necessitated rapid policy updates and system modifications. The compressed implementation timeline created resource allocation challenges and required coordination across multiple functional teams. Despite these constraints, all mandatory changes were deployed successfully ahead of enforcement deadlines.</w:t>
      </w:r>
    </w:p>
    <w:p>
      <w:pPr>
        <w:pStyle w:val="Heading2"/>
        <w:spacing w:before="180" w:after="100"/>
      </w:pPr>
      <w:r>
        <w:rPr>
          <w:b/>
          <w:bCs/>
          <w:sz w:val="24"/>
          <w:szCs w:val="24"/>
        </w:rPr>
        <w:t xml:space="preserve">Challenge 2</w:t>
      </w:r>
    </w:p>
    <w:p>
      <w:pPr>
        <w:spacing w:after="200"/>
      </w:pPr>
      <w:r>
        <w:t xml:space="preserve">Several operational challenges emerged during the quarter that required immediate attention and remediation. System scalability constraints became apparent during peak transaction periods, necessitating infrastructure upgrades and architectural refinements. The engineering team implemented emergency capacity enhancements while developing longer-term solutions to address underlying limitations.</w:t>
      </w:r>
    </w:p>
    <w:p>
      <w:pPr>
        <w:pStyle w:val="Heading1"/>
        <w:spacing w:before="240" w:after="120"/>
      </w:pPr>
      <w:r>
        <w:rPr>
          <w:b/>
          <w:bCs/>
          <w:sz w:val="28"/>
          <w:szCs w:val="28"/>
        </w:rPr>
        <w:t xml:space="preserve">Key Achievements</w:t>
      </w:r>
    </w:p>
    <w:p>
      <w:pPr>
        <w:pStyle w:val="Heading2"/>
        <w:spacing w:before="180" w:after="100"/>
      </w:pPr>
      <w:r>
        <w:rPr>
          <w:b/>
          <w:bCs/>
          <w:sz w:val="24"/>
          <w:szCs w:val="24"/>
        </w:rPr>
        <w:t xml:space="preserve">Achievement 1</w:t>
      </w:r>
    </w:p>
    <w:p>
      <w:pPr>
        <w:spacing w:after="200"/>
      </w:pPr>
      <w:r>
        <w:t xml:space="preserve">Regulatory compliance audit concluded with zero critical findings and commendations for control framework maturity and documentation quality. The compliance team's proactive approach to requirement interpretation and implementation established FinEdge Bank as an industry leader in governance practices. This outcome strengthens stakeholder confidence and competitive positioning.</w:t>
      </w:r>
    </w:p>
    <w:p>
      <w:pPr>
        <w:pStyle w:val="Heading2"/>
        <w:spacing w:before="180" w:after="100"/>
      </w:pPr>
      <w:r>
        <w:rPr>
          <w:b/>
          <w:bCs/>
          <w:sz w:val="24"/>
          <w:szCs w:val="24"/>
        </w:rPr>
        <w:t xml:space="preserve">Achievement 2</w:t>
      </w:r>
    </w:p>
    <w:p>
      <w:pPr>
        <w:spacing w:after="200"/>
      </w:pPr>
      <w:r>
        <w:t xml:space="preserve">Fraud detection algorithm refinements resulted in a 16% improvement in identification accuracy while reducing false positive rates by 16%. The machine learning models now incorporate expanded feature sets and improved training methodologies that enhance pattern recognition capabilities. These improvements directly translate to reduced financial losses and improved customer experience.</w:t>
      </w:r>
    </w:p>
    <w:p>
      <w:pPr>
        <w:pStyle w:val="Heading1"/>
        <w:spacing w:before="240" w:after="120"/>
      </w:pPr>
      <w:r>
        <w:rPr>
          <w:b/>
          <w:bCs/>
          <w:sz w:val="28"/>
          <w:szCs w:val="28"/>
        </w:rPr>
        <w:t xml:space="preserve">Strategic Recommendations</w:t>
      </w:r>
    </w:p>
    <w:p>
      <w:pPr>
        <w:pStyle w:val="Heading2"/>
        <w:spacing w:before="180" w:after="100"/>
      </w:pPr>
      <w:r>
        <w:rPr>
          <w:b/>
          <w:bCs/>
          <w:sz w:val="24"/>
          <w:szCs w:val="24"/>
        </w:rPr>
        <w:t xml:space="preserve">Recommendation 1</w:t>
      </w:r>
    </w:p>
    <w:p>
      <w:pPr>
        <w:spacing w:after="200"/>
      </w:pPr>
      <w:r>
        <w:t xml:space="preserve">Invest in employee development programs to address skill gaps and support career progression pathways. The talent retention challenges highlight need for structured learning opportunities and clear advancement criteria. Recommended annual training budget of $873.7M with focus on technical and leadership capability development.</w:t>
      </w:r>
    </w:p>
    <w:p>
      <w:pPr>
        <w:pStyle w:val="Heading2"/>
        <w:spacing w:before="180" w:after="100"/>
      </w:pPr>
      <w:r>
        <w:rPr>
          <w:b/>
          <w:bCs/>
          <w:sz w:val="24"/>
          <w:szCs w:val="24"/>
        </w:rPr>
        <w:t xml:space="preserve">Recommendation 2</w:t>
      </w:r>
    </w:p>
    <w:p>
      <w:pPr>
        <w:spacing w:after="200"/>
      </w:pPr>
      <w:r>
        <w:t xml:space="preserve">Enhance vendor management practices through improved contract structures, performance monitoring frameworks, and risk mitigation strategies. Current vendor dependency analysis revealed concentration risks that should be addressed through diversification and contractual safeguards. Implementation of vendor scorecards and regular business reviews will drive accountability.</w:t>
      </w:r>
    </w:p>
    <w:p>
      <w:pPr>
        <w:pStyle w:val="Heading1"/>
        <w:spacing w:before="240" w:after="120"/>
      </w:pPr>
      <w:r>
        <w:rPr>
          <w:b/>
          <w:bCs/>
          <w:sz w:val="28"/>
          <w:szCs w:val="28"/>
        </w:rPr>
        <w:t xml:space="preserve">Performance Metrics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Metric</w:t>
            </w:r>
          </w:p>
        </w:tc>
        <w:tc>
          <w:tcPr>
            <w:tcW w:type="dxa" w:w="468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r>
              <w:rPr>
                <w:b/>
                <w:bCs/>
              </w:rPr>
              <w:t xml:space="preserve">Value</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Revenue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$873.7M</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Transaction Latency (ms)</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62ms</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Fraud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0.40%</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Customer Churn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4.8%</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Approval Rate (%)</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74.3%</w:t>
            </w:r>
          </w:p>
        </w:tc>
      </w:tr>
      <w:tr>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Infrastructure Cost (M USD)</w:t>
            </w:r>
          </w:p>
        </w:tc>
        <w:tc>
          <w:tcPr>
            <w:tcW w:type="dxa" w:w="46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$10.9M</w:t>
            </w:r>
          </w:p>
        </w:tc>
      </w:tr>
    </w:tbl>
    <w:p>
      <w:pPr>
        <w:pStyle w:val="Heading1"/>
        <w:spacing w:before="240" w:after="120"/>
      </w:pPr>
      <w:r>
        <w:rPr>
          <w:b/>
          <w:bCs/>
          <w:sz w:val="28"/>
          <w:szCs w:val="28"/>
        </w:rPr>
        <w:t xml:space="preserve">Conclusion</w:t>
      </w:r>
    </w:p>
    <w:p>
      <w:pPr>
        <w:spacing w:after="200"/>
      </w:pPr>
      <w:r>
        <w:t xml:space="preserve">The comprehensive analysis presented in this report indicates that Neptune Payments is on a positive trajectory toward achieving its strategic objectives. The combination of strong fundamental performance, proactive risk management, and continuous improvement initiatives creates foundation for long-term success. Ongoing monitoring of key metrics and adaptive strategy execution will ensure sustained momentum.</w:t>
      </w:r>
    </w:p>
    <w:p>
      <w:pPr>
        <w:spacing w:before="400"/>
      </w:pPr>
    </w:p>
    <w:p>
      <w:pPr>
        <w:spacing w:before="200"/>
        <w:jc w:val="center"/>
      </w:pPr>
      <w:r>
        <w:rPr>
          <w:i/>
          <w:iCs/>
        </w:rPr>
        <w:t xml:space="preserve">--- End of Report ---</w:t>
      </w:r>
    </w:p>
    <w:p>
      <w:pPr>
        <w:jc w:val="center"/>
      </w:pPr>
      <w:r>
        <w:rPr>
          <w:i/>
          <w:iCs/>
          <w:sz w:val="18"/>
          <w:szCs w:val="18"/>
        </w:rPr>
        <w:t xml:space="preserve">Confidential - FinEdge Bank Internal Use Only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Arial" w:cs="Arial" w:eastAsia="Arial" w:hAnsi="Arial"/>
      <w:b/>
      <w:bCs/>
      <w:sz w:val="32"/>
      <w:szCs w:val="32"/>
    </w:rPr>
  </w:style>
  <w:style w:type="paragraph" w:styleId="Heading2">
    <w:name w:val="Heading 2"/>
    <w:basedOn w:val="Normal"/>
    <w:next w:val="Normal"/>
    <w:qFormat/>
    <w:pPr>
      <w:spacing w:before="180" w:after="18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2026-02-05T08:24:46.965Z</dcterms:created>
  <dcterms:modified xsi:type="dcterms:W3CDTF">2026-02-05T08:24:46.965Z</dcterms:modified>
</cp:coreProperties>
</file>

<file path=docProps/custom.xml><?xml version="1.0" encoding="utf-8"?>
<Properties xmlns="http://schemas.openxmlformats.org/officeDocument/2006/custom-properties" xmlns:vt="http://schemas.openxmlformats.org/officeDocument/2006/docPropsVTypes"/>
</file>