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$913.8M representing a 24.0% increase from forecast. Cloud resource optimization, improved capacity planning, and strategic vendor negotiations contributed to the cost efficiency gains. The cost-per-transaction metric improved to $0.066, supporting improved unit economics.</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5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Credit approval rates achieved 0.15% during this quarter, processing a total of 45780 applications through automated and manual review channels. The approval criteria balanced risk appetite with growth objectives, resulting in a default rate of 2.00% among newly approved accounts. Underwriting efficiency improved by 24.0%, reducing average decision time to 10 hours.</w:t>
      </w:r>
    </w:p>
    <w:p>
      <w:pPr>
        <w:pStyle w:val="Heading2"/>
        <w:spacing w:before="180" w:after="100"/>
      </w:pPr>
      <w:r>
        <w:rPr>
          <w:b/>
          <w:bCs/>
          <w:sz w:val="24"/>
          <w:szCs w:val="24"/>
        </w:rPr>
        <w:t xml:space="preserve">KPI Analysis 4</w:t>
      </w:r>
    </w:p>
    <w:p>
      <w:pPr>
        <w:spacing w:after="200"/>
      </w:pPr>
      <w:r>
        <w:t xml:space="preserve">Customer churn analysis indicates a retention rate of 94.2%, with 546 customers discontinuing service during the reporting period. Primary churn drivers included service issues, accounting for 29% of total attrition. Proactive retention initiatives managed to save approximately 29%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$913.8M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$913.8M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$913.8M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2026-02-05T08:24:47.053Z</dcterms:created>
  <dcterms:modified xsi:type="dcterms:W3CDTF">2026-02-05T08:24:47.053Z</dcterms:modified>
</cp:coreProperties>
</file>

<file path=docProps/custom.xml><?xml version="1.0" encoding="utf-8"?>
<Properties xmlns="http://schemas.openxmlformats.org/officeDocument/2006/custom-properties" xmlns:vt="http://schemas.openxmlformats.org/officeDocument/2006/docPropsVTypes"/>
</file>