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Approval Rate, Infra Cost, Customer Churn, Transaction Latency</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54ms across all payment channels, marking a 13.0% improvement from prior benchmarks. The performance improvement can be attributed to algorithm improvements, which enhanced system throughput and reduced processing bottlenecks. Detailed analysis indicates that 18% of transactions completed within the target SLA threshold.</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$928.6M representing a 13.0% improvement from forecast. Cloud resource optimization, improved capacity planning, and strategic vendor negotiations contributed to the cost efficiency gains. The cost-per-transaction metric improved to $0.058, supporting improved unit economics.</w:t>
      </w:r>
    </w:p>
    <w:p>
      <w:pPr>
        <w:pStyle w:val="Heading2"/>
        <w:spacing w:before="180" w:after="100"/>
      </w:pPr>
      <w:r>
        <w:rPr>
          <w:b/>
          <w:bCs/>
          <w:sz w:val="24"/>
          <w:szCs w:val="24"/>
        </w:rPr>
        <w:t xml:space="preserve">KPI Analysis 3</w:t>
      </w:r>
    </w:p>
    <w:p>
      <w:pPr>
        <w:spacing w:after="200"/>
      </w:pPr>
      <w:r>
        <w:t xml:space="preserve">Revenue generation for this period demonstrated improving momentum, with total realized revenue reaching $928.6M, representing a 13.0% improvement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9 areas requiring enhanced monitoring and control frameworks. The compliance team successfully addressed 6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18%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$928.6M with focus on technical and leadership capability development.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$928.6M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2026-02-05T08:24:47.069Z</dcterms:created>
  <dcterms:modified xsi:type="dcterms:W3CDTF">2026-02-05T08:24:47.069Z</dcterms:modified>
</cp:coreProperties>
</file>

<file path=docProps/custom.xml><?xml version="1.0" encoding="utf-8"?>
<Properties xmlns="http://schemas.openxmlformats.org/officeDocument/2006/custom-properties" xmlns:vt="http://schemas.openxmlformats.org/officeDocument/2006/docPropsVTypes"/>
</file>