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Operational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FEB-25Q4-0030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2025-12-08</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Zenith Risk</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Kavya</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Risk Manager</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Zenith Risk activities throughout Q4 2025.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Revenue, Infra Cost, Fraud Rate, Transaction Latency, Customer Churn</w:t>
      </w:r>
    </w:p>
    <w:p>
      <w:pPr>
        <w:pStyle w:val="Heading2"/>
        <w:spacing w:before="180" w:after="100"/>
      </w:pPr>
      <w:r>
        <w:rPr>
          <w:b/>
          <w:bCs/>
          <w:sz w:val="24"/>
          <w:szCs w:val="24"/>
        </w:rPr>
        <w:t xml:space="preserve">KPI Analysis 1</w:t>
      </w:r>
    </w:p>
    <w:p>
      <w:pPr>
        <w:spacing w:after="200"/>
      </w:pPr>
      <w:r>
        <w:t xml:space="preserve">Revenue generation for this period demonstrated stable momentum, with total realized revenue reaching $942.1M, representing a 24.4% increase compared to the previous quarter. This performance was primarily driven by product enhancements, which contributed significantly to the overall financial outcome. The revenue trajectory indicates market opportunity, suggesting sustained momentum in market penetration and customer value realization.</w:t>
      </w:r>
    </w:p>
    <w:p>
      <w:pPr>
        <w:pStyle w:val="Heading2"/>
        <w:spacing w:before="180" w:after="100"/>
      </w:pPr>
      <w:r>
        <w:rPr>
          <w:b/>
          <w:bCs/>
          <w:sz w:val="24"/>
          <w:szCs w:val="24"/>
        </w:rPr>
        <w:t xml:space="preserve">KPI Analysis 2</w:t>
      </w:r>
    </w:p>
    <w:p>
      <w:pPr>
        <w:spacing w:after="200"/>
      </w:pPr>
      <w:r>
        <w:t xml:space="preserve">Transaction latency metrics revealed an average response time of 51ms across all payment channels, marking a 24.4% increase from prior benchmarks. The performance improvement can be attributed to algorithm improvements, which enhanced system throughput and reduced processing bottlenecks. Detailed analysis indicates that 41% of transactions completed within the target SLA threshold.</w:t>
      </w:r>
    </w:p>
    <w:p>
      <w:pPr>
        <w:pStyle w:val="Heading2"/>
        <w:spacing w:before="180" w:after="100"/>
      </w:pPr>
      <w:r>
        <w:rPr>
          <w:b/>
          <w:bCs/>
          <w:sz w:val="24"/>
          <w:szCs w:val="24"/>
        </w:rPr>
        <w:t xml:space="preserve">KPI Analysis 3</w:t>
      </w:r>
    </w:p>
    <w:p>
      <w:pPr>
        <w:spacing w:after="200"/>
      </w:pPr>
      <w:r>
        <w:t xml:space="preserve">Fraud detection capabilities showed stable performance this quarter, with the overall fraud rate measuring 0.15% of total transaction volume. The fraud prevention systems successfully identified and blocked $5.0M in potentially fraudulent activities. Enhanced machine learning models contributed to a 24.4% improvement in detection accuracy while maintaining low false positive rates.</w:t>
      </w:r>
    </w:p>
    <w:p>
      <w:pPr>
        <w:pStyle w:val="Heading2"/>
        <w:spacing w:before="180" w:after="100"/>
      </w:pPr>
      <w:r>
        <w:rPr>
          <w:b/>
          <w:bCs/>
          <w:sz w:val="24"/>
          <w:szCs w:val="24"/>
        </w:rPr>
        <w:t xml:space="preserve">KPI Analysis 4</w:t>
      </w:r>
    </w:p>
    <w:p>
      <w:pPr>
        <w:spacing w:after="200"/>
      </w:pPr>
      <w:r>
        <w:t xml:space="preserve">Regulatory risk assessment identified 9 areas requiring enhanced monitoring and control frameworks. The compliance team successfully addressed 3 previously identified issues while implementing 1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5 professionals with cross-functional expertise and appropriate experimentation budget.</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$942.1M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81.1%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$10.5M</w:t>
            </w:r>
          </w:p>
        </w:tc>
      </w:tr>
    </w:tbl>
    <w:p>
      <w:pPr>
        <w:pStyle w:val="Heading1"/>
        <w:spacing w:before="240" w:after="120"/>
      </w:pPr>
      <w:r>
        <w:rPr>
          <w:b/>
          <w:bCs/>
          <w:sz w:val="28"/>
          <w:szCs w:val="28"/>
        </w:rPr>
        <w:t xml:space="preserve">Conclusion</w:t>
      </w:r>
    </w:p>
    <w:p>
      <w:pPr>
        <w:spacing w:after="200"/>
      </w:pPr>
      <w:r>
        <w:t xml:space="preserve">This quarter's results reflect balanced progress across multiple dimensions, with particular strength in risk management and opportunities for improvement in vendor management. The leadership team remains committed to the established strategic vision while maintaining operational discipline and financial prudence. Stakeholder alignment and resource allocation decisions will be critical success factors going forward.</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2026-02-05T08:24:47.076Z</dcterms:created>
  <dcterms:modified xsi:type="dcterms:W3CDTF">2026-02-05T08:24:47.076Z</dcterms:modified>
</cp:coreProperties>
</file>

<file path=docProps/custom.xml><?xml version="1.0" encoding="utf-8"?>
<Properties xmlns="http://schemas.openxmlformats.org/officeDocument/2006/custom-properties" xmlns:vt="http://schemas.openxmlformats.org/officeDocument/2006/docPropsVTypes"/>
</file>