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sz w:val="32"/>
          <w:szCs w:val="32"/>
        </w:rPr>
        <w:t xml:space="preserve">FinEdge Bank</w:t>
      </w:r>
    </w:p>
    <w:p>
      <w:pPr>
        <w:spacing w:after="400"/>
        <w:jc w:val="center"/>
      </w:pPr>
      <w:r>
        <w:rPr>
          <w:sz w:val="28"/>
          <w:szCs w:val="28"/>
        </w:rPr>
        <w:t xml:space="preserve">Operational Update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Report ID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FEB-25Q4-0031</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Date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2025-12-14</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Quarter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Q4 2025</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Project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Orion Fraud</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Author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Siddharth</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Role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Finance Manager</w:t>
            </w:r>
          </w:p>
        </w:tc>
      </w:tr>
    </w:tbl>
    <w:p>
      <w:pPr>
        <w:spacing w:after="300"/>
      </w:pPr>
    </w:p>
    <w:p>
      <w:pPr>
        <w:pStyle w:val="Heading1"/>
        <w:spacing w:before="240" w:after="120"/>
      </w:pPr>
      <w:r>
        <w:rPr>
          <w:b/>
          <w:bCs/>
          <w:sz w:val="28"/>
          <w:szCs w:val="28"/>
        </w:rPr>
        <w:t xml:space="preserve">Executive Summary</w:t>
      </w:r>
    </w:p>
    <w:p>
      <w:pPr>
        <w:spacing w:after="200"/>
      </w:pPr>
      <w:r>
        <w:t xml:space="preserve">The present document serves as a detailed examination of Orion Fraud activities throughout Q4 2025. Our assessment covers critical performance indicators, identifies emerging challenges, and highlights opportunities for optimization and growth.</w:t>
      </w:r>
    </w:p>
    <w:p>
      <w:pPr>
        <w:pStyle w:val="Heading1"/>
        <w:spacing w:before="240" w:after="120"/>
      </w:pPr>
      <w:r>
        <w:rPr>
          <w:b/>
          <w:bCs/>
          <w:sz w:val="28"/>
          <w:szCs w:val="28"/>
        </w:rPr>
        <w:t xml:space="preserve">Key Performance Indicators</w:t>
      </w:r>
    </w:p>
    <w:p>
      <w:pPr>
        <w:spacing w:after="200"/>
      </w:pPr>
      <w:r>
        <w:rPr>
          <w:i/>
          <w:iCs/>
        </w:rPr>
        <w:t xml:space="preserve">Focus Areas: Revenue, Customer Churn, Approval Rate, Fraud Rate, Transaction Latency</w:t>
      </w:r>
    </w:p>
    <w:p>
      <w:pPr>
        <w:pStyle w:val="Heading2"/>
        <w:spacing w:before="180" w:after="100"/>
      </w:pPr>
      <w:r>
        <w:rPr>
          <w:b/>
          <w:bCs/>
          <w:sz w:val="24"/>
          <w:szCs w:val="24"/>
        </w:rPr>
        <w:t xml:space="preserve">KPI Analysis 1</w:t>
      </w:r>
    </w:p>
    <w:p>
      <w:pPr>
        <w:spacing w:after="200"/>
      </w:pPr>
      <w:r>
        <w:t xml:space="preserve">Customer churn analysis indicates a retention rate of 96.7%, with 190 customers discontinuing service during the reporting period. Primary churn drivers included service issues, accounting for 46% of total attrition. Proactive retention initiatives managed to save approximately 46% of at-risk customers through targeted engagement and service improvements.</w:t>
      </w:r>
    </w:p>
    <w:p>
      <w:pPr>
        <w:pStyle w:val="Heading2"/>
        <w:spacing w:before="180" w:after="100"/>
      </w:pPr>
      <w:r>
        <w:rPr>
          <w:b/>
          <w:bCs/>
          <w:sz w:val="24"/>
          <w:szCs w:val="24"/>
        </w:rPr>
        <w:t xml:space="preserve">KPI Analysis 2</w:t>
      </w:r>
    </w:p>
    <w:p>
      <w:pPr>
        <w:spacing w:after="200"/>
      </w:pPr>
      <w:r>
        <w:t xml:space="preserve">Infrastructure cost optimization initiatives yielded significant results, with total operational expenditure of $918.2M representing a 14.9% improvement from forecast. Cloud resource optimization, improved capacity planning, and strategic vendor negotiations contributed to the cost efficiency gains. The cost-per-transaction metric improved to $0.052, supporting improved unit economics.</w:t>
      </w:r>
    </w:p>
    <w:p>
      <w:pPr>
        <w:pStyle w:val="Heading2"/>
        <w:spacing w:before="180" w:after="100"/>
      </w:pPr>
      <w:r>
        <w:rPr>
          <w:b/>
          <w:bCs/>
          <w:sz w:val="24"/>
          <w:szCs w:val="24"/>
        </w:rPr>
        <w:t xml:space="preserve">KPI Analysis 3</w:t>
      </w:r>
    </w:p>
    <w:p>
      <w:pPr>
        <w:spacing w:after="200"/>
      </w:pPr>
      <w:r>
        <w:t xml:space="preserve">Fraud detection capabilities showed stable performance this quarter, with the overall fraud rate measuring 0.29% of total transaction volume. The fraud prevention systems successfully identified and blocked $4.9M in potentially fraudulent activities. Enhanced machine learning models contributed to a 14.9% improvement in detection accuracy while maintaining low false positive rates.</w:t>
      </w:r>
    </w:p>
    <w:p>
      <w:pPr>
        <w:pStyle w:val="Heading2"/>
        <w:spacing w:before="180" w:after="100"/>
      </w:pPr>
      <w:r>
        <w:rPr>
          <w:b/>
          <w:bCs/>
          <w:sz w:val="24"/>
          <w:szCs w:val="24"/>
        </w:rPr>
        <w:t xml:space="preserve">KPI Analysis 4</w:t>
      </w:r>
    </w:p>
    <w:p>
      <w:pPr>
        <w:spacing w:after="200"/>
      </w:pPr>
      <w:r>
        <w:t xml:space="preserve">Transaction latency metrics revealed an average response time of 52ms across all payment channels, marking a 14.9% improvement from prior benchmarks. The performance improvement can be attributed to database tuning, which enhanced system throughput and reduced processing bottlenecks. Detailed analysis indicates that 46% of transactions completed within the target SLA threshold.</w:t>
      </w:r>
    </w:p>
    <w:p>
      <w:pPr>
        <w:pStyle w:val="Heading1"/>
        <w:spacing w:before="240" w:after="120"/>
      </w:pPr>
      <w:r>
        <w:rPr>
          <w:b/>
          <w:bCs/>
          <w:sz w:val="28"/>
          <w:szCs w:val="28"/>
        </w:rPr>
        <w:t xml:space="preserve">Challenges and Mitigation</w:t>
      </w:r>
    </w:p>
    <w:p>
      <w:pPr>
        <w:pStyle w:val="Heading2"/>
        <w:spacing w:before="180" w:after="100"/>
      </w:pPr>
      <w:r>
        <w:rPr>
          <w:b/>
          <w:bCs/>
          <w:sz w:val="24"/>
          <w:szCs w:val="24"/>
        </w:rPr>
        <w:t xml:space="preserve">Challenge 1</w:t>
      </w:r>
    </w:p>
    <w:p>
      <w:pPr>
        <w:spacing w:after="200"/>
      </w:pPr>
      <w:r>
        <w:t xml:space="preserve">Several operational challenges emerged during the quarter that required immediate attention and remediation. System scalability constraints became apparent during peak transaction periods, necessitating infrastructure upgrades and architectural refinements. The engineering team implemented emergency capacity enhancements while developing longer-term solutions to address underlying limitations.</w:t>
      </w:r>
    </w:p>
    <w:p>
      <w:pPr>
        <w:pStyle w:val="Heading2"/>
        <w:spacing w:before="180" w:after="100"/>
      </w:pPr>
      <w:r>
        <w:rPr>
          <w:b/>
          <w:bCs/>
          <w:sz w:val="24"/>
          <w:szCs w:val="24"/>
        </w:rPr>
        <w:t xml:space="preserve">Challenge 2</w:t>
      </w:r>
    </w:p>
    <w:p>
      <w:pPr>
        <w:spacing w:after="200"/>
      </w:pPr>
      <w:r>
        <w:t xml:space="preserve">Cybersecurity threat landscape evolution necessitated enhanced protective measures and incident response capabilities. Several attempted intrusions were successfully defended, but the increasing sophistication of attack vectors highlighted the need for continuous security posture improvements and proactive threat intelligence utilization.</w:t>
      </w:r>
    </w:p>
    <w:p>
      <w:pPr>
        <w:pStyle w:val="Heading1"/>
        <w:spacing w:before="240" w:after="120"/>
      </w:pPr>
      <w:r>
        <w:rPr>
          <w:b/>
          <w:bCs/>
          <w:sz w:val="28"/>
          <w:szCs w:val="28"/>
        </w:rPr>
        <w:t xml:space="preserve">Key Achievements</w:t>
      </w:r>
    </w:p>
    <w:p>
      <w:pPr>
        <w:pStyle w:val="Heading2"/>
        <w:spacing w:before="180" w:after="100"/>
      </w:pPr>
      <w:r>
        <w:rPr>
          <w:b/>
          <w:bCs/>
          <w:sz w:val="24"/>
          <w:szCs w:val="24"/>
        </w:rPr>
        <w:t xml:space="preserve">Achievement 1</w:t>
      </w:r>
    </w:p>
    <w:p>
      <w:pPr>
        <w:spacing w:after="200"/>
      </w:pPr>
      <w:r>
        <w:t xml:space="preserve">Regulatory compliance audit concluded with zero critical findings and commendations for control framework maturity and documentation quality. The compliance team's proactive approach to requirement interpretation and implementation established FinEdge Bank as an industry leader in governance practices. This outcome strengthens stakeholder confidence and competitive positioning.</w:t>
      </w:r>
    </w:p>
    <w:p>
      <w:pPr>
        <w:pStyle w:val="Heading2"/>
        <w:spacing w:before="180" w:after="100"/>
      </w:pPr>
      <w:r>
        <w:rPr>
          <w:b/>
          <w:bCs/>
          <w:sz w:val="24"/>
          <w:szCs w:val="24"/>
        </w:rPr>
        <w:t xml:space="preserve">Achievement 2</w:t>
      </w:r>
    </w:p>
    <w:p>
      <w:pPr>
        <w:spacing w:after="200"/>
      </w:pPr>
      <w:r>
        <w:t xml:space="preserve">Cost optimization programs exceeded targets, delivering $918.2M in identified savings through operational efficiency improvements and strategic sourcing initiatives. The finance team implemented sophisticated spend analytics and implemented zero-based budgeting approaches that improved resource allocation transparency and accountability across all functional areas.</w:t>
      </w:r>
    </w:p>
    <w:p>
      <w:pPr>
        <w:pStyle w:val="Heading1"/>
        <w:spacing w:before="240" w:after="120"/>
      </w:pPr>
      <w:r>
        <w:rPr>
          <w:b/>
          <w:bCs/>
          <w:sz w:val="28"/>
          <w:szCs w:val="28"/>
        </w:rPr>
        <w:t xml:space="preserve">Strategic Recommendations</w:t>
      </w:r>
    </w:p>
    <w:p>
      <w:pPr>
        <w:pStyle w:val="Heading2"/>
        <w:spacing w:before="180" w:after="100"/>
      </w:pPr>
      <w:r>
        <w:rPr>
          <w:b/>
          <w:bCs/>
          <w:sz w:val="24"/>
          <w:szCs w:val="24"/>
        </w:rPr>
        <w:t xml:space="preserve">Recommendation 1</w:t>
      </w:r>
    </w:p>
    <w:p>
      <w:pPr>
        <w:spacing w:after="200"/>
      </w:pPr>
      <w:r>
        <w:t xml:space="preserve">Optimize customer onboarding workflows to reduce friction and improve conversion rates. Current process analysis identified 9 opportunities for automation and simplification that could reduce average onboarding time by 46%. Improved onboarding experience will positively impact customer acquisition costs and lifetime value metrics.</w:t>
      </w:r>
    </w:p>
    <w:p>
      <w:pPr>
        <w:pStyle w:val="Heading2"/>
        <w:spacing w:before="180" w:after="100"/>
      </w:pPr>
      <w:r>
        <w:rPr>
          <w:b/>
          <w:bCs/>
          <w:sz w:val="24"/>
          <w:szCs w:val="24"/>
        </w:rPr>
        <w:t xml:space="preserve">Recommendation 2</w:t>
      </w:r>
    </w:p>
    <w:p>
      <w:pPr>
        <w:spacing w:after="200"/>
      </w:pPr>
      <w:r>
        <w:t xml:space="preserve">Implement advanced analytics capabilities to derive deeper insights from transaction data and customer behavior patterns. The investment in machine learning infrastructure and data science talent will enable more sophisticated risk modeling, personalized customer experiences, and proactive issue identification. Expected ROI timeline of 12 months with multiple value realization streams.</w:t>
      </w:r>
    </w:p>
    <w:p>
      <w:pPr>
        <w:pStyle w:val="Heading1"/>
        <w:spacing w:before="240" w:after="120"/>
      </w:pPr>
      <w:r>
        <w:rPr>
          <w:b/>
          <w:bCs/>
          <w:sz w:val="28"/>
          <w:szCs w:val="28"/>
        </w:rPr>
        <w:t xml:space="preserve">Performance Metrics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Metric</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Value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Revenue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$918.2M</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Transaction Latency (ms)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52ms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Fraud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0.29%</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Customer Churn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3.3%</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Approval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66.0%</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Infrastructure Cost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$8.8M</w:t>
            </w:r>
          </w:p>
        </w:tc>
      </w:tr>
    </w:tbl>
    <w:p>
      <w:pPr>
        <w:pStyle w:val="Heading1"/>
        <w:spacing w:before="240" w:after="120"/>
      </w:pPr>
      <w:r>
        <w:rPr>
          <w:b/>
          <w:bCs/>
          <w:sz w:val="28"/>
          <w:szCs w:val="28"/>
        </w:rPr>
        <w:t xml:space="preserve">Conclusion</w:t>
      </w:r>
    </w:p>
    <w:p>
      <w:pPr>
        <w:spacing w:after="200"/>
      </w:pPr>
      <w:r>
        <w:t xml:space="preserve">The findings and recommendations outlined in this report provide actionable insights for stakeholders across the organization. Implementation of the proposed initiatives will require coordinated effort and sustained focus, but the potential value creation justifies the required investment. Regular progress tracking and course correction mechanisms will ensure achievement of desired outcomes.</w:t>
      </w:r>
    </w:p>
    <w:p>
      <w:pPr>
        <w:spacing w:before="400"/>
      </w:pPr>
    </w:p>
    <w:p>
      <w:pPr>
        <w:spacing w:before="200"/>
        <w:jc w:val="center"/>
      </w:pPr>
      <w:r>
        <w:rPr>
          <w:i/>
          <w:iCs/>
        </w:rPr>
        <w:t xml:space="preserve">--- End of Report ---</w:t>
      </w:r>
    </w:p>
    <w:p>
      <w:pPr>
        <w:jc w:val="center"/>
      </w:pPr>
      <w:r>
        <w:rPr>
          <w:i/>
          <w:iCs/>
          <w:sz w:val="18"/>
          <w:szCs w:val="18"/>
        </w:rPr>
        <w:t xml:space="preserve">Confidential - FinEdge Bank Internal Use Only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sz w:val="32"/>
      <w:szCs w:val="32"/>
    </w:rPr>
  </w:style>
  <w:style w:type="paragraph" w:styleId="Heading2">
    <w:name w:val="Heading 2"/>
    <w:basedOn w:val="Normal"/>
    <w:next w:val="Normal"/>
    <w:qFormat/>
    <w:pPr>
      <w:spacing w:before="180" w:after="1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2026-02-05T08:24:47.083Z</dcterms:created>
  <dcterms:modified xsi:type="dcterms:W3CDTF">2026-02-05T08:24:47.083Z</dcterms:modified>
</cp:coreProperties>
</file>

<file path=docProps/custom.xml><?xml version="1.0" encoding="utf-8"?>
<Properties xmlns="http://schemas.openxmlformats.org/officeDocument/2006/custom-properties" xmlns:vt="http://schemas.openxmlformats.org/officeDocument/2006/docPropsVTypes"/>
</file>