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2"/>
          <w:szCs w:val="32"/>
        </w:rPr>
        <w:t xml:space="preserve">FinEdge Bank</w:t>
      </w:r>
    </w:p>
    <w:p>
      <w:pPr>
        <w:spacing w:after="400"/>
        <w:jc w:val="center"/>
      </w:pPr>
      <w:r>
        <w:rPr>
          <w:sz w:val="28"/>
          <w:szCs w:val="28"/>
        </w:rPr>
        <w:t xml:space="preserve">Infrastructure Report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Report ID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FEB-25Q4-0040</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2025-12-13</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Quarter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Q4 2025</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Project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Zenith Risk</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Author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Rohit</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Role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Data Lead</w:t>
            </w:r>
          </w:p>
        </w:tc>
      </w:tr>
    </w:tbl>
    <w:p>
      <w:pPr>
        <w:spacing w:after="300"/>
      </w:pPr>
    </w:p>
    <w:p>
      <w:pPr>
        <w:pStyle w:val="Heading1"/>
        <w:spacing w:before="240" w:after="120"/>
      </w:pPr>
      <w:r>
        <w:rPr>
          <w:b/>
          <w:bCs/>
          <w:sz w:val="28"/>
          <w:szCs w:val="28"/>
        </w:rPr>
        <w:t xml:space="preserve">Executive Summary</w:t>
      </w:r>
    </w:p>
    <w:p>
      <w:pPr>
        <w:spacing w:after="200"/>
      </w:pPr>
      <w:r>
        <w:t xml:space="preserve">The present document serves as a detailed examination of Zenith Risk activities throughout Q4 2025. Our assessment covers critical performance indicators, identifies emerging challenges, and highlights opportunities for optimization and growth.</w:t>
      </w:r>
    </w:p>
    <w:p>
      <w:pPr>
        <w:pStyle w:val="Heading1"/>
        <w:spacing w:before="240" w:after="120"/>
      </w:pPr>
      <w:r>
        <w:rPr>
          <w:b/>
          <w:bCs/>
          <w:sz w:val="28"/>
          <w:szCs w:val="28"/>
        </w:rPr>
        <w:t xml:space="preserve">Key Performance Indicators</w:t>
      </w:r>
    </w:p>
    <w:p>
      <w:pPr>
        <w:spacing w:after="200"/>
      </w:pPr>
      <w:r>
        <w:rPr>
          <w:i/>
          <w:iCs/>
        </w:rPr>
        <w:t xml:space="preserve">Focus Areas: Revenue, Fraud Rate, Regulatory Risk, Transaction Latency, Infra Cost</w:t>
      </w:r>
    </w:p>
    <w:p>
      <w:pPr>
        <w:pStyle w:val="Heading2"/>
        <w:spacing w:before="180" w:after="100"/>
      </w:pPr>
      <w:r>
        <w:rPr>
          <w:b/>
          <w:bCs/>
          <w:sz w:val="24"/>
          <w:szCs w:val="24"/>
        </w:rPr>
        <w:t xml:space="preserve">KPI Analysis 1</w:t>
      </w:r>
    </w:p>
    <w:p>
      <w:pPr>
        <w:spacing w:after="200"/>
      </w:pPr>
      <w:r>
        <w:t xml:space="preserve">Regulatory risk assessment identified 8 areas requiring enhanced monitoring and control frameworks. The compliance team successfully addressed 3 previously identified issues while implementing 3 additional safeguards. All regulatory reporting obligations were met within prescribed deadlines, with zero material findings from external audits.</w:t>
      </w:r>
    </w:p>
    <w:p>
      <w:pPr>
        <w:pStyle w:val="Heading2"/>
        <w:spacing w:before="180" w:after="100"/>
      </w:pPr>
      <w:r>
        <w:rPr>
          <w:b/>
          <w:bCs/>
          <w:sz w:val="24"/>
          <w:szCs w:val="24"/>
        </w:rPr>
        <w:t xml:space="preserve">KPI Analysis 2</w:t>
      </w:r>
    </w:p>
    <w:p>
      <w:pPr>
        <w:spacing w:after="200"/>
      </w:pPr>
      <w:r>
        <w:t xml:space="preserve">Infrastructure cost optimization initiatives yielded significant results, with total operational expenditure of $880.9M representing a 10.2% increase from forecast. Cloud resource optimization, improved capacity planning, and strategic vendor negotiations contributed to the cost efficiency gains. The cost-per-transaction metric improved to $0.054, supporting improved unit economics.</w:t>
      </w:r>
    </w:p>
    <w:p>
      <w:pPr>
        <w:pStyle w:val="Heading2"/>
        <w:spacing w:before="180" w:after="100"/>
      </w:pPr>
      <w:r>
        <w:rPr>
          <w:b/>
          <w:bCs/>
          <w:sz w:val="24"/>
          <w:szCs w:val="24"/>
        </w:rPr>
        <w:t xml:space="preserve">KPI Analysis 3</w:t>
      </w:r>
    </w:p>
    <w:p>
      <w:pPr>
        <w:spacing w:after="200"/>
      </w:pPr>
      <w:r>
        <w:t xml:space="preserve">Credit approval rates achieved 0.17% during this quarter, processing a total of 50396 applications through automated and manual review channels. The approval criteria balanced risk appetite with growth objectives, resulting in a default rate of 0.58% among newly approved accounts. Underwriting efficiency improved by 10.2%, reducing average decision time to 8 hours.</w:t>
      </w:r>
    </w:p>
    <w:p>
      <w:pPr>
        <w:pStyle w:val="Heading2"/>
        <w:spacing w:before="180" w:after="100"/>
      </w:pPr>
      <w:r>
        <w:rPr>
          <w:b/>
          <w:bCs/>
          <w:sz w:val="24"/>
          <w:szCs w:val="24"/>
        </w:rPr>
        <w:t xml:space="preserve">KPI Analysis 4</w:t>
      </w:r>
    </w:p>
    <w:p>
      <w:pPr>
        <w:spacing w:after="200"/>
      </w:pPr>
      <w:r>
        <w:t xml:space="preserve">Customer churn analysis indicates a retention rate of 93.2%, with 563 customers discontinuing service during the reporting period. Primary churn drivers included service issues, accounting for 46% of total attrition. Proactive retention initiatives managed to save approximately 46% of at-risk customers through targeted engagement and service improvements.</w:t>
      </w:r>
    </w:p>
    <w:p>
      <w:pPr>
        <w:pStyle w:val="Heading1"/>
        <w:spacing w:before="240" w:after="120"/>
      </w:pPr>
      <w:r>
        <w:rPr>
          <w:b/>
          <w:bCs/>
          <w:sz w:val="28"/>
          <w:szCs w:val="28"/>
        </w:rPr>
        <w:t xml:space="preserve">Challenges and Mitigation</w:t>
      </w:r>
    </w:p>
    <w:p>
      <w:pPr>
        <w:pStyle w:val="Heading2"/>
        <w:spacing w:before="180" w:after="100"/>
      </w:pPr>
      <w:r>
        <w:rPr>
          <w:b/>
          <w:bCs/>
          <w:sz w:val="24"/>
          <w:szCs w:val="24"/>
        </w:rPr>
        <w:t xml:space="preserve">Challenge 1</w:t>
      </w:r>
    </w:p>
    <w:p>
      <w:pPr>
        <w:spacing w:after="200"/>
      </w:pPr>
      <w:r>
        <w:t xml:space="preserve">Talent acquisition difficulties in specialized technical domains constrained project velocity and delayed certain strategic initiatives. The highly competitive labor market for experienced professionals in fraud detection and machine learning required adjusted recruitment strategies and enhanced retention programs to maintain team capability and continuity.</w:t>
      </w:r>
    </w:p>
    <w:p>
      <w:pPr>
        <w:pStyle w:val="Heading2"/>
        <w:spacing w:before="180" w:after="100"/>
      </w:pPr>
      <w:r>
        <w:rPr>
          <w:b/>
          <w:bCs/>
          <w:sz w:val="24"/>
          <w:szCs w:val="24"/>
        </w:rPr>
        <w:t xml:space="preserve">Challenge 2</w:t>
      </w:r>
    </w:p>
    <w:p>
      <w:pPr>
        <w:spacing w:after="200"/>
      </w:pPr>
      <w:r>
        <w:t xml:space="preserve">Legacy system integration complexities surfaced during the deployment of new platform capabilities, requiring extensive compatibility testing and interface development. The technical debt accumulated in older systems became a limiting factor for innovation velocity, prompting strategic discussions about modernization priorities and investment allocation.</w:t>
      </w:r>
    </w:p>
    <w:p>
      <w:pPr>
        <w:pStyle w:val="Heading1"/>
        <w:spacing w:before="240" w:after="120"/>
      </w:pPr>
      <w:r>
        <w:rPr>
          <w:b/>
          <w:bCs/>
          <w:sz w:val="28"/>
          <w:szCs w:val="28"/>
        </w:rPr>
        <w:t xml:space="preserve">Key Achievements</w:t>
      </w:r>
    </w:p>
    <w:p>
      <w:pPr>
        <w:pStyle w:val="Heading2"/>
        <w:spacing w:before="180" w:after="100"/>
      </w:pPr>
      <w:r>
        <w:rPr>
          <w:b/>
          <w:bCs/>
          <w:sz w:val="24"/>
          <w:szCs w:val="24"/>
        </w:rPr>
        <w:t xml:space="preserve">Achievement 1</w:t>
      </w:r>
    </w:p>
    <w:p>
      <w:pPr>
        <w:spacing w:after="200"/>
      </w:pPr>
      <w:r>
        <w:t xml:space="preserve">Cost optimization programs exceeded targets, delivering $880.9M in identified savings through operational efficiency improvements and strategic sourcing initiatives. The finance team implemented sophisticated spend analytics and implemented zero-based budgeting approaches that improved resource allocation transparency and accountability across all functional areas.</w:t>
      </w:r>
    </w:p>
    <w:p>
      <w:pPr>
        <w:pStyle w:val="Heading2"/>
        <w:spacing w:before="180" w:after="100"/>
      </w:pPr>
      <w:r>
        <w:rPr>
          <w:b/>
          <w:bCs/>
          <w:sz w:val="24"/>
          <w:szCs w:val="24"/>
        </w:rPr>
        <w:t xml:space="preserve">Achievement 2</w:t>
      </w:r>
    </w:p>
    <w:p>
      <w:pPr>
        <w:spacing w:after="200"/>
      </w:pPr>
      <w:r>
        <w:t xml:space="preserve">Customer satisfaction scores reached an all-time high of 8.1 out of 10, reflecting successful execution of experience enhancement initiatives. Detailed survey feedback highlighted improvements in platform usability, support responsiveness, and feature completeness. The positive sentiment creates strong foundation for customer lifetime value expansion and referral generation.</w:t>
      </w:r>
    </w:p>
    <w:p>
      <w:pPr>
        <w:pStyle w:val="Heading1"/>
        <w:spacing w:before="240" w:after="120"/>
      </w:pPr>
      <w:r>
        <w:rPr>
          <w:b/>
          <w:bCs/>
          <w:sz w:val="28"/>
          <w:szCs w:val="28"/>
        </w:rPr>
        <w:t xml:space="preserve">Strategic Recommendations</w:t>
      </w:r>
    </w:p>
    <w:p>
      <w:pPr>
        <w:pStyle w:val="Heading2"/>
        <w:spacing w:before="180" w:after="100"/>
      </w:pPr>
      <w:r>
        <w:rPr>
          <w:b/>
          <w:bCs/>
          <w:sz w:val="24"/>
          <w:szCs w:val="24"/>
        </w:rPr>
        <w:t xml:space="preserve">Recommendation 1</w:t>
      </w:r>
    </w:p>
    <w:p>
      <w:pPr>
        <w:spacing w:after="200"/>
      </w:pPr>
      <w:r>
        <w:t xml:space="preserve">Enhance vendor management practices through improved contract structures, performance monitoring frameworks, and risk mitigation strategies. Current vendor dependency analysis revealed concentration risks that should be addressed through diversification and contractual safeguards. Implementation of vendor scorecards and regular business reviews will drive accountability.</w:t>
      </w:r>
    </w:p>
    <w:p>
      <w:pPr>
        <w:pStyle w:val="Heading2"/>
        <w:spacing w:before="180" w:after="100"/>
      </w:pPr>
      <w:r>
        <w:rPr>
          <w:b/>
          <w:bCs/>
          <w:sz w:val="24"/>
          <w:szCs w:val="24"/>
        </w:rPr>
        <w:t xml:space="preserve">Recommendation 2</w:t>
      </w:r>
    </w:p>
    <w:p>
      <w:pPr>
        <w:spacing w:after="200"/>
      </w:pPr>
      <w:r>
        <w:t xml:space="preserve">Accelerate cloud infrastructure migration to enhance scalability, reliability, and cost efficiency. The transition should prioritize customer-facing systems and adopt a phased approach that minimizes service disruption. Estimated completion timeline of 10 months with projected annual savings of $880.9M upon full implementation.</w:t>
      </w:r>
    </w:p>
    <w:p>
      <w:pPr>
        <w:pStyle w:val="Heading1"/>
        <w:spacing w:before="240" w:after="120"/>
      </w:pPr>
      <w:r>
        <w:rPr>
          <w:b/>
          <w:bCs/>
          <w:sz w:val="28"/>
          <w:szCs w:val="28"/>
        </w:rPr>
        <w:t xml:space="preserve">Performance Metrics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Metric</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Revenue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$880.9M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Transaction Latency (ms)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57ms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Fraud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0.17%</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Customer Churn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6.8%</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Approval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75.8%</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Infrastructure Cost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$8.1M</w:t>
            </w:r>
          </w:p>
        </w:tc>
      </w:tr>
    </w:tbl>
    <w:p>
      <w:pPr>
        <w:pStyle w:val="Heading1"/>
        <w:spacing w:before="240" w:after="120"/>
      </w:pPr>
      <w:r>
        <w:rPr>
          <w:b/>
          <w:bCs/>
          <w:sz w:val="28"/>
          <w:szCs w:val="28"/>
        </w:rPr>
        <w:t xml:space="preserve">Conclusion</w:t>
      </w:r>
    </w:p>
    <w:p>
      <w:pPr>
        <w:spacing w:after="200"/>
      </w:pPr>
      <w:r>
        <w:t xml:space="preserve">In summary, Zenith Risk demonstrated solid performance during Q4 2025 with notable achievements in revenue growth while navigating challenges in technical debt. The strategic priorities for the coming quarter focus on strengthening security, supported by targeted investments in customer experience. Continued execution of the defined roadmap positions the project well for sustained value delivery.</w:t>
      </w:r>
    </w:p>
    <w:p>
      <w:pPr>
        <w:spacing w:before="400"/>
      </w:pPr>
    </w:p>
    <w:p>
      <w:pPr>
        <w:spacing w:before="200"/>
        <w:jc w:val="center"/>
      </w:pPr>
      <w:r>
        <w:rPr>
          <w:i/>
          <w:iCs/>
        </w:rPr>
        <w:t xml:space="preserve">--- End of Report ---</w:t>
      </w:r>
    </w:p>
    <w:p>
      <w:pPr>
        <w:jc w:val="center"/>
      </w:pPr>
      <w:r>
        <w:rPr>
          <w:i/>
          <w:iCs/>
          <w:sz w:val="18"/>
          <w:szCs w:val="18"/>
        </w:rPr>
        <w:t xml:space="preserve">Confidential - FinEdge Bank Internal Use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2026-02-05T08:24:47.165Z</dcterms:created>
  <dcterms:modified xsi:type="dcterms:W3CDTF">2026-02-05T08:24:47.165Z</dcterms:modified>
</cp:coreProperties>
</file>

<file path=docProps/custom.xml><?xml version="1.0" encoding="utf-8"?>
<Properties xmlns="http://schemas.openxmlformats.org/officeDocument/2006/custom-properties" xmlns:vt="http://schemas.openxmlformats.org/officeDocument/2006/docPropsVTypes"/>
</file>