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Performance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FEB-25Q4-0041</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2025-10-06</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Aarav</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Engineering</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Atlas Credit activities throughout Q4 2025.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Revenue, Regulatory Risk, Approval Rate, Fraud Rate</w:t>
      </w:r>
    </w:p>
    <w:p>
      <w:pPr>
        <w:pStyle w:val="Heading2"/>
        <w:spacing w:before="180" w:after="100"/>
      </w:pPr>
      <w:r>
        <w:rPr>
          <w:b/>
          <w:bCs/>
          <w:sz w:val="24"/>
          <w:szCs w:val="24"/>
        </w:rPr>
        <w:t xml:space="preserve">KPI Analysis 1</w:t>
      </w:r>
    </w:p>
    <w:p>
      <w:pPr>
        <w:spacing w:after="200"/>
      </w:pPr>
      <w:r>
        <w:t xml:space="preserve">Revenue generation for this period demonstrated strong momentum, with total realized revenue reaching $850.3M, representing a 9.1% increase compared to the previous quarter. This performance was primarily driven by product enhancements, which contributed significantly to the overall financial outcome. The revenue trajectory indicates sustainable growth,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Customer churn analysis indicates a retention rate of 94.5%, with 182 customers discontinuing service during the reporting period. Primary churn drivers included feature gaps, accounting for 20% of total attrition. Proactive retention initiatives managed to save approximately 20%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Regulatory risk assessment identified 13 areas requiring enhanced monitoring and control frameworks. The compliance team successfully addressed 4 previously identified issues while implementing 5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Infrastructure cost optimization initiatives yielded significant results, with total operational expenditure of $850.3M representing a 9.1% increase from forecast. Cloud resource optimization, improved capacity planning, and strategic vendor negotiations contributed to the cost efficiency gains. The cost-per-transaction metric improved to $0.036, supporting improved unit economics.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2"/>
        <w:spacing w:before="180" w:after="100"/>
      </w:pPr>
      <w:r>
        <w:rPr>
          <w:b/>
          <w:bCs/>
          <w:sz w:val="24"/>
          <w:szCs w:val="24"/>
        </w:rPr>
        <w:t xml:space="preserve">Challenge 2</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$850.3M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16 months with projected annual savings of $850.3M upon full implementation.</w:t>
      </w:r>
    </w:p>
    <w:p>
      <w:pPr>
        <w:pStyle w:val="Heading2"/>
        <w:spacing w:before="180" w:after="100"/>
      </w:pPr>
      <w:r>
        <w:rPr>
          <w:b/>
          <w:bCs/>
          <w:sz w:val="24"/>
          <w:szCs w:val="24"/>
        </w:rPr>
        <w:t xml:space="preserve">Recommendation 2</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8 professionals with cross-functional expertise and appropriate experimentation budget.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$850.3M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76.8%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$10.8M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Atlas Credit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2026-02-05T08:24:47.173Z</dcterms:created>
  <dcterms:modified xsi:type="dcterms:W3CDTF">2026-02-05T08:24:47.173Z</dcterms:modified>
</cp:coreProperties>
</file>

<file path=docProps/custom.xml><?xml version="1.0" encoding="utf-8"?>
<Properties xmlns="http://schemas.openxmlformats.org/officeDocument/2006/custom-properties" xmlns:vt="http://schemas.openxmlformats.org/officeDocument/2006/docPropsVTypes"/>
</file>