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Strategic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FEB-25Q4-0044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2025-10-28</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Atlas Credit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Meera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Compliance Head</w:t>
            </w:r>
          </w:p>
        </w:tc>
      </w:tr>
    </w:tbl>
    <w:p>
      <w:pPr>
        <w:spacing w:after="300"/>
      </w:pPr>
    </w:p>
    <w:p>
      <w:pPr>
        <w:pStyle w:val="Heading1"/>
        <w:spacing w:before="240" w:after="120"/>
      </w:pPr>
      <w:r>
        <w:rPr>
          <w:b/>
          <w:bCs/>
          <w:sz w:val="28"/>
          <w:szCs w:val="28"/>
        </w:rPr>
        <w:t xml:space="preserve">Executive Summary</w:t>
      </w:r>
    </w:p>
    <w:p>
      <w:pPr>
        <w:spacing w:after="200"/>
      </w:pPr>
      <w:r>
        <w:t xml:space="preserve">The following analysis presents a thorough evaluation of Atlas Credit operations for Q4 2025. This assessment incorporates quantitative metrics, qualitative insights, and forward-looking recommendations to support informed decision-making.</w:t>
      </w:r>
    </w:p>
    <w:p>
      <w:pPr>
        <w:pStyle w:val="Heading1"/>
        <w:spacing w:before="240" w:after="120"/>
      </w:pPr>
      <w:r>
        <w:rPr>
          <w:b/>
          <w:bCs/>
          <w:sz w:val="28"/>
          <w:szCs w:val="28"/>
        </w:rPr>
        <w:t xml:space="preserve">Key Performance Indicators</w:t>
      </w:r>
    </w:p>
    <w:p>
      <w:pPr>
        <w:spacing w:after="200"/>
      </w:pPr>
      <w:r>
        <w:rPr>
          <w:i/>
          <w:iCs/>
        </w:rPr>
        <w:t xml:space="preserve">Focus Areas: Customer Churn, Transaction Latency, Approval Rate, Fraud Rate</w:t>
      </w:r>
    </w:p>
    <w:p>
      <w:pPr>
        <w:pStyle w:val="Heading2"/>
        <w:spacing w:before="180" w:after="100"/>
      </w:pPr>
      <w:r>
        <w:rPr>
          <w:b/>
          <w:bCs/>
          <w:sz w:val="24"/>
          <w:szCs w:val="24"/>
        </w:rPr>
        <w:t xml:space="preserve">KPI Analysis 1</w:t>
      </w:r>
    </w:p>
    <w:p>
      <w:pPr>
        <w:spacing w:after="200"/>
      </w:pPr>
      <w:r>
        <w:t xml:space="preserve">Revenue generation for this period demonstrated improving momentum, with total realized revenue reaching $877.9M, representing a 22.1% improvement compared to the previous quarter. This performance was primarily driven by product enhancements, which contributed significantly to the overall financial outcome. The revenue trajectory indicates positive momentum,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Transaction latency metrics revealed an average response time of 48ms across all payment channels, marking a 22.1% improvement from prior benchmarks. The performance improvement can be attributed to database tuning, which enhanced system throughput and reduced processing bottlenecks. Detailed analysis indicates that 31% of transactions completed within the target SLA threshold.</w:t>
      </w:r>
    </w:p>
    <w:p>
      <w:pPr>
        <w:pStyle w:val="Heading2"/>
        <w:spacing w:before="180" w:after="100"/>
      </w:pPr>
      <w:r>
        <w:rPr>
          <w:b/>
          <w:bCs/>
          <w:sz w:val="24"/>
          <w:szCs w:val="24"/>
        </w:rPr>
        <w:t xml:space="preserve">KPI Analysis 3</w:t>
      </w:r>
    </w:p>
    <w:p>
      <w:pPr>
        <w:spacing w:after="200"/>
      </w:pPr>
      <w:r>
        <w:t xml:space="preserve">Infrastructure cost optimization initiatives yielded significant results, with total operational expenditure of $877.9M representing a 22.1% improvement from forecast. Cloud resource optimization, improved capacity planning, and strategic vendor negotiations contributed to the cost efficiency gains. The cost-per-transaction metric improved to $0.048, supporting improved unit economics.</w:t>
      </w:r>
    </w:p>
    <w:p>
      <w:pPr>
        <w:pStyle w:val="Heading2"/>
        <w:spacing w:before="180" w:after="100"/>
      </w:pPr>
      <w:r>
        <w:rPr>
          <w:b/>
          <w:bCs/>
          <w:sz w:val="24"/>
          <w:szCs w:val="24"/>
        </w:rPr>
        <w:t xml:space="preserve">KPI Analysis 4</w:t>
      </w:r>
    </w:p>
    <w:p>
      <w:pPr>
        <w:spacing w:after="200"/>
      </w:pPr>
      <w:r>
        <w:t xml:space="preserve">Fraud detection capabilities showed improving performance this quarter, with the overall fraud rate measuring 0.36% of total transaction volume. The fraud prevention systems successfully identified and blocked $2.1M in potentially fraudulent activities. Enhanced machine learning models contributed to a 22.1% improvement in detection accuracy while maintaining low false positive rates.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2"/>
        <w:spacing w:before="180" w:after="100"/>
      </w:pPr>
      <w:r>
        <w:rPr>
          <w:b/>
          <w:bCs/>
          <w:sz w:val="24"/>
          <w:szCs w:val="24"/>
        </w:rPr>
        <w:t xml:space="preserve">Challenge 2</w:t>
      </w:r>
    </w:p>
    <w:p>
      <w:pPr>
        <w:spacing w:after="200"/>
      </w:pPr>
      <w:r>
        <w:t xml:space="preserve">Data quality issues in the customer information database created complications for analytics and reporting workflows. Approximately 31% of records required remediation due to incomplete or inconsistent data elements. A comprehensive data cleansing initiative was launched, establishing new validation protocols and improving upstream data capture mechanisms.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Cost optimization programs exceeded targets, delivering $877.9M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2"/>
        <w:spacing w:before="180" w:after="100"/>
      </w:pPr>
      <w:r>
        <w:rPr>
          <w:b/>
          <w:bCs/>
          <w:sz w:val="24"/>
          <w:szCs w:val="24"/>
        </w:rPr>
        <w:t xml:space="preserve">Achievement 2</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11 months with projected annual savings of $877.9M upon full implementation.</w:t>
      </w:r>
    </w:p>
    <w:p>
      <w:pPr>
        <w:pStyle w:val="Heading2"/>
        <w:spacing w:before="180" w:after="100"/>
      </w:pPr>
      <w:r>
        <w:rPr>
          <w:b/>
          <w:bCs/>
          <w:sz w:val="24"/>
          <w:szCs w:val="24"/>
        </w:rPr>
        <w:t xml:space="preserve">Recommendation 2</w:t>
      </w:r>
    </w:p>
    <w:p>
      <w:pPr>
        <w:spacing w:after="200"/>
      </w:pPr>
      <w:r>
        <w:t xml:space="preserve">Enhance vendor management practices through improved contract structures, performance monitoring frameworks, and risk mitigation strategies. Current vendor dependency analysis revealed concentration risks that should be addressed through diversification and contractual safeguards. Implementation of vendor scorecards and regular business reviews will drive accountability.</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$877.9M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48ms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71.9%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$10.3M</w:t>
            </w:r>
          </w:p>
        </w:tc>
      </w:tr>
    </w:tbl>
    <w:p>
      <w:pPr>
        <w:pStyle w:val="Heading1"/>
        <w:spacing w:before="240" w:after="120"/>
      </w:pPr>
      <w:r>
        <w:rPr>
          <w:b/>
          <w:bCs/>
          <w:sz w:val="28"/>
          <w:szCs w:val="28"/>
        </w:rPr>
        <w:t xml:space="preserve">Conclusion</w:t>
      </w:r>
    </w:p>
    <w:p>
      <w:pPr>
        <w:spacing w:after="200"/>
      </w:pPr>
      <w:r>
        <w:t xml:space="preserve">This quarter's results reflect balanced progress across multiple dimensions, with particular strength in customer satisfaction and opportunities for improvement in team capacity. The leadership team remains committed to the established strategic vision while maintaining operational discipline and financial prudence. Stakeholder alignment and resource allocation decisions will be critical success factors going forward.</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2026-02-05T08:24:47.213Z</dcterms:created>
  <dcterms:modified xsi:type="dcterms:W3CDTF">2026-02-05T08:24:47.213Z</dcterms:modified>
</cp:coreProperties>
</file>

<file path=docProps/custom.xml><?xml version="1.0" encoding="utf-8"?>
<Properties xmlns="http://schemas.openxmlformats.org/officeDocument/2006/custom-properties" xmlns:vt="http://schemas.openxmlformats.org/officeDocument/2006/docPropsVTypes"/>
</file>