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Financial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FEB-25Q4-0046</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2025-10-09</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Q4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Atlas Credit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Meera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Compliance Head</w:t>
            </w:r>
          </w:p>
        </w:tc>
      </w:tr>
    </w:tbl>
    <w:p>
      <w:pPr>
        <w:spacing w:after="300"/>
      </w:pPr>
    </w:p>
    <w:p>
      <w:pPr>
        <w:pStyle w:val="Heading1"/>
        <w:spacing w:before="240" w:after="120"/>
      </w:pPr>
      <w:r>
        <w:rPr>
          <w:b/>
          <w:bCs/>
          <w:sz w:val="28"/>
          <w:szCs w:val="28"/>
        </w:rPr>
        <w:t xml:space="preserve">Executive Summary</w:t>
      </w:r>
    </w:p>
    <w:p>
      <w:pPr>
        <w:spacing w:after="200"/>
      </w:pPr>
      <w:r>
        <w:t xml:space="preserve">This analytical review focuses on Atlas Credit outcomes achieved during Q4 2025. The report synthesizes data from multiple sources to present a holistic view of project performance, resource utilization, and strategic value delivery.</w:t>
      </w:r>
    </w:p>
    <w:p>
      <w:pPr>
        <w:pStyle w:val="Heading1"/>
        <w:spacing w:before="240" w:after="120"/>
      </w:pPr>
      <w:r>
        <w:rPr>
          <w:b/>
          <w:bCs/>
          <w:sz w:val="28"/>
          <w:szCs w:val="28"/>
        </w:rPr>
        <w:t xml:space="preserve">Key Performance Indicators</w:t>
      </w:r>
    </w:p>
    <w:p>
      <w:pPr>
        <w:spacing w:after="200"/>
      </w:pPr>
      <w:r>
        <w:rPr>
          <w:i/>
          <w:iCs/>
        </w:rPr>
        <w:t xml:space="preserve">Focus Areas: Customer Churn, Revenue, Infra Cost, Regulatory Risk, Fraud Rate</w:t>
      </w:r>
    </w:p>
    <w:p>
      <w:pPr>
        <w:pStyle w:val="Heading2"/>
        <w:spacing w:before="180" w:after="100"/>
      </w:pPr>
      <w:r>
        <w:rPr>
          <w:b/>
          <w:bCs/>
          <w:sz w:val="24"/>
          <w:szCs w:val="24"/>
        </w:rPr>
        <w:t xml:space="preserve">KPI Analysis 1</w:t>
      </w:r>
    </w:p>
    <w:p>
      <w:pPr>
        <w:spacing w:after="200"/>
      </w:pPr>
      <w:r>
        <w:t xml:space="preserve">Infrastructure cost optimization initiatives yielded significant results, with total operational expenditure of $858.3M representing a 11.9% improvement from forecast. Cloud resource optimization, improved capacity planning, and strategic vendor negotiations contributed to the cost efficiency gains. The cost-per-transaction metric improved to $0.031, supporting improved unit economics.</w:t>
      </w:r>
    </w:p>
    <w:p>
      <w:pPr>
        <w:pStyle w:val="Heading2"/>
        <w:spacing w:before="180" w:after="100"/>
      </w:pPr>
      <w:r>
        <w:rPr>
          <w:b/>
          <w:bCs/>
          <w:sz w:val="24"/>
          <w:szCs w:val="24"/>
        </w:rPr>
        <w:t xml:space="preserve">KPI Analysis 2</w:t>
      </w:r>
    </w:p>
    <w:p>
      <w:pPr>
        <w:spacing w:after="200"/>
      </w:pPr>
      <w:r>
        <w:t xml:space="preserve">Regulatory risk assessment identified 11 areas requiring enhanced monitoring and control frameworks. The compliance team successfully addressed 10 previously identified issues while implementing 3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3</w:t>
      </w:r>
    </w:p>
    <w:p>
      <w:pPr>
        <w:spacing w:after="200"/>
      </w:pPr>
      <w:r>
        <w:t xml:space="preserve">Credit approval rates achieved 0.35% during this quarter, processing a total of 40374 applications through automated and manual review channels. The approval criteria balanced risk appetite with growth objectives, resulting in a default rate of 0.65% among newly approved accounts. Underwriting efficiency improved by 11.9%, reducing average decision time to 17 hours.</w:t>
      </w:r>
    </w:p>
    <w:p>
      <w:pPr>
        <w:pStyle w:val="Heading2"/>
        <w:spacing w:before="180" w:after="100"/>
      </w:pPr>
      <w:r>
        <w:rPr>
          <w:b/>
          <w:bCs/>
          <w:sz w:val="24"/>
          <w:szCs w:val="24"/>
        </w:rPr>
        <w:t xml:space="preserve">KPI Analysis 4</w:t>
      </w:r>
    </w:p>
    <w:p>
      <w:pPr>
        <w:spacing w:after="200"/>
      </w:pPr>
      <w:r>
        <w:t xml:space="preserve">Customer churn analysis indicates a retention rate of 95.5%, with 288 customers discontinuing service during the reporting period. Primary churn drivers included feature gaps, accounting for 38% of total attrition. Proactive retention initiatives managed to save approximately 38% of at-risk customers through targeted engagement and service improvements.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Legacy system integration complexities surfaced during the deployment of new platform capabilities, requiring extensive compatibility testing and interface development. The technical debt accumulated in older systems became a limiting factor for innovation velocity, prompting strategic discussions about modernization priorities and investment allocation.</w:t>
      </w:r>
    </w:p>
    <w:p>
      <w:pPr>
        <w:pStyle w:val="Heading2"/>
        <w:spacing w:before="180" w:after="100"/>
      </w:pPr>
      <w:r>
        <w:rPr>
          <w:b/>
          <w:bCs/>
          <w:sz w:val="24"/>
          <w:szCs w:val="24"/>
        </w:rPr>
        <w:t xml:space="preserve">Challenge 2</w:t>
      </w:r>
    </w:p>
    <w:p>
      <w:pPr>
        <w:spacing w:after="200"/>
      </w:pPr>
      <w:r>
        <w:t xml:space="preserve">Third-party vendor performance fell short of contractual service level agreements in several instances, impacting downstream system availability and user experience. The vendor management team initiated formal performance improvement plans and explored alternative provider options to mitigate dependency risks and ensure service reliability.</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New product launch exceeded initial adoption targets by 38%, with 11 customers onboarded in the first 24 days. The go-to-market strategy successfully addressed customer pain points and differentiated the offering from competitive alternatives. Early usage patterns and feedback provide strong indicators for sustained growth trajectory.</w:t>
      </w:r>
    </w:p>
    <w:p>
      <w:pPr>
        <w:pStyle w:val="Heading2"/>
        <w:spacing w:before="180" w:after="100"/>
      </w:pPr>
      <w:r>
        <w:rPr>
          <w:b/>
          <w:bCs/>
          <w:sz w:val="24"/>
          <w:szCs w:val="24"/>
        </w:rPr>
        <w:t xml:space="preserve">Achievement 2</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17 months with projected annual savings of $858.3M upon full implementation.</w:t>
      </w:r>
    </w:p>
    <w:p>
      <w:pPr>
        <w:pStyle w:val="Heading2"/>
        <w:spacing w:before="180" w:after="100"/>
      </w:pPr>
      <w:r>
        <w:rPr>
          <w:b/>
          <w:bCs/>
          <w:sz w:val="24"/>
          <w:szCs w:val="24"/>
        </w:rPr>
        <w:t xml:space="preserve">Recommendation 2</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17 months with multiple value realization streams.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$858.3M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71ms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73.3%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$11.9M</w:t>
            </w:r>
          </w:p>
        </w:tc>
      </w:tr>
    </w:tbl>
    <w:p>
      <w:pPr>
        <w:pStyle w:val="Heading1"/>
        <w:spacing w:before="240" w:after="120"/>
      </w:pPr>
      <w:r>
        <w:rPr>
          <w:b/>
          <w:bCs/>
          <w:sz w:val="28"/>
          <w:szCs w:val="28"/>
        </w:rPr>
        <w:t xml:space="preserve">Conclusion</w:t>
      </w:r>
    </w:p>
    <w:p>
      <w:pPr>
        <w:spacing w:after="200"/>
      </w:pPr>
      <w:r>
        <w:t xml:space="preserve">The findings and recommendations outlined in this report provide actionable insights for stakeholders across the organization. Implementation of the proposed initiatives will require coordinated effort and sustained focus, but the potential value creation justifies the required investment. Regular progress tracking and course correction mechanisms will ensure achievement of desired outcomes.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2026-02-05T08:24:47.227Z</dcterms:created>
  <dcterms:modified xsi:type="dcterms:W3CDTF">2026-02-05T08:24:47.227Z</dcterms:modified>
</cp:coreProperties>
</file>

<file path=docProps/custom.xml><?xml version="1.0" encoding="utf-8"?>
<Properties xmlns="http://schemas.openxmlformats.org/officeDocument/2006/custom-properties" xmlns:vt="http://schemas.openxmlformats.org/officeDocument/2006/docPropsVTypes"/>
</file>