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FEB-25Q4-0051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2025-12-22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Phoenix Wallet performance during Q4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Revenue, Infra Cost, Fraud Rate</w:t>
      </w:r>
    </w:p>
    <w:p>
      <w:pPr>
        <w:pStyle w:val="Heading2"/>
        <w:spacing w:before="180" w:after="100"/>
      </w:pPr>
      <w:r>
        <w:rPr>
          <w:b/>
          <w:bCs/>
          <w:sz w:val="24"/>
          <w:szCs w:val="24"/>
        </w:rPr>
        <w:t xml:space="preserve">KPI Analysis 1</w:t>
      </w:r>
    </w:p>
    <w:p>
      <w:pPr>
        <w:spacing w:after="200"/>
      </w:pPr>
      <w:r>
        <w:t xml:space="preserve">Transaction latency metrics revealed an average response time of 64ms across all payment channels, marking a 22.2% growth from prior benchmarks. The performance improvement can be attributed to database tuning, which enhanced system throughput and reduced processing bottlenecks. Detailed analysis indicates that 18% of transactions completed within the target SLA threshold.</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$894.6M representing a 22.2% growth from forecast. Cloud resource optimization, improved capacity planning, and strategic vendor negotiations contributed to the cost efficiency gains. The cost-per-transaction metric improved to $0.042, supporting improved unit economics.</w:t>
      </w:r>
    </w:p>
    <w:p>
      <w:pPr>
        <w:pStyle w:val="Heading2"/>
        <w:spacing w:before="180" w:after="100"/>
      </w:pPr>
      <w:r>
        <w:rPr>
          <w:b/>
          <w:bCs/>
          <w:sz w:val="24"/>
          <w:szCs w:val="24"/>
        </w:rPr>
        <w:t xml:space="preserve">KPI Analysis 3</w:t>
      </w:r>
    </w:p>
    <w:p>
      <w:pPr>
        <w:spacing w:after="200"/>
      </w:pPr>
      <w:r>
        <w:t xml:space="preserve">Fraud detection capabilities showed stable performance this quarter, with the overall fraud rate measuring 0.33% of total transaction volume. The fraud prevention systems successfully identified and blocked $3.2M in potentially fraudulent activities. Enhanced machine learning models contributed to a 22.2%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Revenue generation for this period demonstrated stable momentum, with total realized revenue reaching $894.6M, representing a 22.2% growth compared to the previous quarter. This performance was primarily driven by market expansion, which contributed significantly to the overall financial outcome. The revenue trajectory indicates continued expansion,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8.5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15 months with projected annual savings of $894.6M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15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$894.6M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2026-02-05T08:24:47.263Z</dcterms:created>
  <dcterms:modified xsi:type="dcterms:W3CDTF">2026-02-05T08:24:47.263Z</dcterms:modified>
</cp:coreProperties>
</file>

<file path=docProps/custom.xml><?xml version="1.0" encoding="utf-8"?>
<Properties xmlns="http://schemas.openxmlformats.org/officeDocument/2006/custom-properties" xmlns:vt="http://schemas.openxmlformats.org/officeDocument/2006/docPropsVTypes"/>
</file>