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May 2026 history-gap correction: Google Drive review now documents the missing 2024-2025 bridge. After the February 2024 relapse and March 2024 CAR-T recommendation, no reviewed record confirms CAR-T was administered. The documented post-relapse regimen was 6 cycles of carfilzomib + daratumumab + zoledronic acid + pomalidomide until 04 Sep 2024, followed by severe AKI/anuria and kidney-biopsy context of post-carfilzomib thrombotic microangiopathy. From Jan 2025, maintenance daratumumab + pomalidomide is documented; on 21 Aug 2025 the patient received Cycle 20 Day 1 maintenance daratumumab plus denosumab, with pomalidomide continued.</w:t>
      </w:r>
    </w:p>
    <w:p>
      <w:pPr>
        <w:shd w:fill="1F3864" w:val="clear"/>
        <w:spacing w:after="80" w:before="240"/>
        <w:jc w:val="center"/>
      </w:pPr>
      <w:r>
        <w:rPr>
          <w:rFonts w:ascii="Arial" w:cs="Arial" w:eastAsia="Arial" w:hAnsi="Arial"/>
          <w:b/>
          <w:bCs/>
          <w:color w:val="FFFFFF"/>
          <w:sz w:val="48"/>
          <w:szCs w:val="48"/>
        </w:rPr>
        <w:t xml:space="preserve">  MULTIPLE MYELOMA TREATMENT ANALYSIS  </w:t>
      </w:r>
    </w:p>
    <w:p>
      <w:pPr>
        <w:shd w:fill="2E5FA3" w:val="clear"/>
        <w:spacing w:after="0" w:before="0"/>
        <w:jc w:val="center"/>
      </w:pPr>
      <w:r>
        <w:rPr>
          <w:rFonts w:ascii="Arial" w:cs="Arial" w:eastAsia="Arial" w:hAnsi="Arial"/>
          <w:color w:val="FFFFFF"/>
          <w:sz w:val="28"/>
          <w:szCs w:val="28"/>
        </w:rPr>
        <w:t xml:space="preserve">  Vipan Kumar Garg  |  Relapsed/Refractory IgG Kappa MM  |  Evidence-Based Treatment Options  </w:t>
      </w:r>
    </w:p>
    <w:p>
      <w:pPr>
        <w:shd w:fill="D6E4F0" w:val="clear"/>
        <w:spacing w:after="200" w:before="0"/>
        <w:jc w:val="center"/>
      </w:pPr>
      <w:r>
        <w:rPr>
          <w:rFonts w:ascii="Arial" w:cs="Arial" w:eastAsia="Arial" w:hAnsi="Arial"/>
          <w:i/>
          <w:iCs/>
          <w:color w:val="1F3864"/>
          <w:sz w:val="20"/>
          <w:szCs w:val="20"/>
        </w:rPr>
        <w:t xml:space="preserve">  Prepared April 2026  |  Based on evidence through ASH 2025 and Nature Medicine 2026  </w:t>
      </w:r>
    </w:p>
    <w:p>
      <w:pPr>
        <w:pStyle w:val="Heading1"/>
        <w:spacing w:after="120" w:before="320"/>
      </w:pPr>
      <w:r>
        <w:rPr>
          <w:rFonts w:ascii="Arial" w:cs="Arial" w:eastAsia="Arial" w:hAnsi="Arial"/>
          <w:b/>
          <w:bCs/>
          <w:color w:val="1F3864"/>
          <w:sz w:val="40"/>
          <w:szCs w:val="40"/>
        </w:rPr>
        <w:t xml:space="preserve">SECTION 1: EXECUTIVE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EBF5FB" w:val="clear"/>
            <w:tcMar>
              <w:top w:type="dxa" w:w="140"/>
              <w:left w:type="dxa" w:w="200"/>
              <w:bottom w:type="dxa" w:w="140"/>
              <w:right w:type="dxa" w:w="200"/>
            </w:tcMar>
          </w:tcPr>
          <w:p>
            <w:r>
              <w:rPr>
                <w:rFonts w:ascii="Arial" w:cs="Arial" w:eastAsia="Arial" w:hAnsi="Arial"/>
                <w:b/>
                <w:bCs/>
                <w:color w:val="1F3864"/>
                <w:sz w:val="22"/>
                <w:szCs w:val="22"/>
              </w:rPr>
              <w:t xml:space="preserve">CLINICAL SITUATION IN BRIEF</w:t>
            </w:r>
          </w:p>
          <w:p>
            <w:pPr>
              <w:spacing w:after="0" w:before="40"/>
            </w:pPr>
            <w:r>
              <w:t xml:space="preserve"/>
            </w:r>
          </w:p>
          <w:p>
            <w:pPr>
              <w:spacing w:after="80" w:before="60"/>
            </w:pPr>
            <w:r>
              <w:rPr>
                <w:rFonts w:ascii="Arial" w:cs="Arial" w:eastAsia="Arial" w:hAnsi="Arial"/>
                <w:sz w:val="22"/>
                <w:szCs w:val="22"/>
              </w:rPr>
              <w:t>Vipan Kumar Garg, approximately 70 years of age (diagnosed June 2022), presents with Relapsed/Refractory IgG Kappa Multiple Myeloma. He achieved a deep initial response — MRD-negative Complete Remission — following first-line DaraVCD (Daratumumab + Bortezomib + Cyclophosphamide + Dexamethasone). However, biochemical and structural relapse was confirmed in January–February 2024. Later Drive records now document post-relapse therapy as 6 cycles of carfilzomib + daratumumab + zoledronic acid + pomalidomide until 04 September 2024, followed by severe AKI/TMA and then maintenance daratumumab + pomalidomide from January 2025.</w:t>
            </w:r>
          </w:p>
          <w:p>
            <w:pPr>
              <w:spacing w:after="0" w:before="40"/>
            </w:pPr>
            <w:r>
              <w:t xml:space="preserve"/>
            </w:r>
          </w:p>
          <w:p>
            <w:pPr>
              <w:spacing w:after="80" w:before="60"/>
            </w:pPr>
            <w:r>
              <w:rPr>
                <w:rFonts w:ascii="Arial" w:cs="Arial" w:eastAsia="Arial" w:hAnsi="Arial"/>
                <w:sz w:val="22"/>
                <w:szCs w:val="22"/>
              </w:rPr>
              <w:t>His disease is now best classified as relapsed/refractory, daratumumab-exposed, pomalidomide-exposed, and carfilzomib-intolerant/contraindication-concern RRMM. Three critical constraints govern treatment selection: (1) CKD Stage G3b (eGFR 39–43 mL/min), (2) prior Lenalidomide intolerance, and (3) ASCT ineligibility. Despite these challenges, an expanding armamentarium of approved and investigational therapies offers meaningful clinical options.</w:t>
            </w:r>
          </w:p>
          <w:p>
            <w:pPr>
              <w:spacing w:after="0" w:before="40"/>
            </w:pPr>
            <w:r>
              <w:t xml:space="preserve"/>
            </w:r>
          </w:p>
          <w:p>
            <w:pPr>
              <w:spacing w:after="80" w:before="60"/>
            </w:pPr>
            <w:r>
              <w:rPr>
                <w:rFonts w:ascii="Arial" w:cs="Arial" w:eastAsia="Arial" w:hAnsi="Arial"/>
                <w:sz w:val="22"/>
                <w:szCs w:val="22"/>
              </w:rPr>
              <w:t xml:space="preserve">The single most urgent recommendation is evaluation for BCMA-directed CAR-T cell therapy (Carvykti / cilta-cel), which represents the highest-potential curative-intent strategy. In parallel, bispecific antibodies — teclistamab and talquetamab — are immediately available (via import/trial access in India) and offer deep, durable responses in Daratumumab-refractory patients. This report outlines 7 prioritized treatment options, sequencing rationale, India-specific access strategies, and essential supportive care.</w:t>
            </w:r>
          </w:p>
        </w:tc>
      </w:tr>
    </w:tbl>
    <w:p>
      <w:pPr>
        <w:spacing w:after="0" w:before="80"/>
      </w:pPr>
      <w:r>
        <w:t xml:space="preserve"/>
      </w:r>
    </w:p>
    <w:p>
      <w:pPr>
        <w:pStyle w:val="Heading1"/>
        <w:spacing w:after="120" w:before="320"/>
      </w:pPr>
      <w:r>
        <w:rPr>
          <w:rFonts w:ascii="Arial" w:cs="Arial" w:eastAsia="Arial" w:hAnsi="Arial"/>
          <w:b/>
          <w:bCs/>
          <w:color w:val="1F3864"/>
          <w:sz w:val="40"/>
          <w:szCs w:val="40"/>
        </w:rPr>
        <w:t xml:space="preserve">SECTION 2: PATIENT CLINICAL PROFILE</w:t>
      </w:r>
    </w:p>
    <w:p>
      <w:pPr>
        <w:pStyle w:val="Heading2"/>
        <w:spacing w:after="120" w:before="320"/>
      </w:pPr>
      <w:r>
        <w:rPr>
          <w:rFonts w:ascii="Arial" w:cs="Arial" w:eastAsia="Arial" w:hAnsi="Arial"/>
          <w:b/>
          <w:bCs/>
          <w:color w:val="2E5FA3"/>
          <w:sz w:val="32"/>
          <w:szCs w:val="32"/>
        </w:rPr>
        <w:t xml:space="preserve">2.1 Demographics &amp; Baseline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7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Full Name</w:t>
            </w:r>
          </w:p>
        </w:tc>
        <w:tc>
          <w:tcPr>
            <w:tcW w:type="dxa" w:w="7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Vipan Kumar Garg (= Vipin Kumar Garg) — same individual, formally declared April 17, 2024</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Age (April 2026)</w:t>
            </w:r>
          </w:p>
        </w:tc>
        <w:tc>
          <w:tcPr>
            <w:tcW w:type="dxa" w:w="7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 years (diagnosed at ~66 in June 2022)</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Primary Diagnosis</w:t>
            </w:r>
          </w:p>
        </w:tc>
        <w:tc>
          <w:tcPr>
            <w:tcW w:type="dxa" w:w="7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Multiple Myeloma — IgG Kappa type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Date of Diagnosis</w:t>
            </w:r>
          </w:p>
        </w:tc>
        <w:tc>
          <w:tcPr>
            <w:tcW w:type="dxa" w:w="7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June 2022 — Bone Marrow Biopsy + SPEP confirmed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Treating Institutions</w:t>
            </w:r>
          </w:p>
        </w:tc>
        <w:tc>
          <w:tcPr>
            <w:tcW w:type="dxa" w:w="7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Max Healthcare Chandigarh (Dr. Sachin, primary) | Amrita Hospital Faridabad (Dr. Prashant Mehta) | PGIMER Chandigarh (2nd opinion)</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Family History of MM</w:t>
            </w:r>
          </w:p>
        </w:tc>
        <w:tc>
          <w:tcPr>
            <w:tcW w:type="dxa" w:w="7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Mother: MM | Maternal Uncle: MM — strong hereditary pattern on maternal side</w:t>
            </w:r>
          </w:p>
        </w:tc>
      </w:tr>
    </w:tbl>
    <w:p>
      <w:pPr>
        <w:spacing w:after="0" w:before="80"/>
      </w:pPr>
      <w:r>
        <w:t xml:space="preserve"/>
      </w:r>
    </w:p>
    <w:p>
      <w:pPr>
        <w:pStyle w:val="Heading2"/>
        <w:spacing w:after="120" w:before="320"/>
      </w:pPr>
      <w:r>
        <w:rPr>
          <w:rFonts w:ascii="Arial" w:cs="Arial" w:eastAsia="Arial" w:hAnsi="Arial"/>
          <w:b/>
          <w:bCs/>
          <w:color w:val="2E5FA3"/>
          <w:sz w:val="32"/>
          <w:szCs w:val="32"/>
        </w:rPr>
        <w:t xml:space="preserve">2.2 Key Comorbidities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4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TREATMENT</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Asthma (~20 yr)</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Foracort 200 inhaler + Montair LC</w:t>
            </w:r>
          </w:p>
        </w:tc>
        <w:tc>
          <w:tcPr>
            <w:tcW w:type="dxa" w:w="3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Steroid dosing caution; CRS risk with bispecifics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Hypertension (~5 yr)</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Telmisartan 40mg daily</w:t>
            </w:r>
          </w:p>
        </w:tc>
        <w:tc>
          <w:tcPr>
            <w:tcW w:type="dxa" w:w="3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Monitor BP with carfilzomib; fluid management in CRS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Pre-Diabetes</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HbA1c maintained 5.5–6.1</w:t>
            </w:r>
          </w:p>
        </w:tc>
        <w:tc>
          <w:tcPr>
            <w:tcW w:type="dxa" w:w="3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High-dose dexamethasone worsens glycemia</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BPH (Prostate)</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Alfuzosin 10mg daily</w:t>
            </w:r>
          </w:p>
        </w:tc>
        <w:tc>
          <w:tcPr>
            <w:tcW w:type="dxa" w:w="3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Drug interactions to check with new regimens</w:t>
            </w:r>
          </w:p>
        </w:tc>
      </w:tr>
      <w:tr>
        <w:tc>
          <w:tcPr>
            <w:tcW w:type="dxa" w:w="3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CKD G3b ⚠️</w:t>
            </w:r>
          </w:p>
        </w:tc>
        <w:tc>
          <w:tcPr>
            <w:tcW w:type="dxa" w:w="40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eGFR 39–43 mL/min/1.73m² (Feb–Aug 2025)</w:t>
            </w:r>
          </w:p>
        </w:tc>
        <w:tc>
          <w:tcPr>
            <w:tcW w:type="dxa" w:w="3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limits drug choice, dosing, and CAR-T eligibility thresholds</w:t>
            </w:r>
          </w:p>
        </w:tc>
      </w:tr>
    </w:tbl>
    <w:p>
      <w:pPr>
        <w:spacing w:after="0" w:before="80"/>
      </w:pPr>
      <w:r>
        <w:t xml:space="preserve"/>
      </w:r>
    </w:p>
    <w:p>
      <w:pPr>
        <w:pStyle w:val="Heading2"/>
        <w:spacing w:after="120" w:before="320"/>
      </w:pPr>
      <w:r>
        <w:rPr>
          <w:rFonts w:ascii="Arial" w:cs="Arial" w:eastAsia="Arial" w:hAnsi="Arial"/>
          <w:b/>
          <w:bCs/>
          <w:color w:val="2E5FA3"/>
          <w:sz w:val="32"/>
          <w:szCs w:val="32"/>
        </w:rPr>
        <w:t xml:space="preserve">2.3 Cytogenetics (FISH Report — June 2022)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80"/>
      </w:tblGrid>
      <w:tr>
        <w:trPr>
          <w:tblHeader/>
        </w:trPr>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CYTOGENETIC MARKER</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4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CLINICAL SIGNIFICANCE</w:t>
            </w:r>
          </w:p>
        </w:tc>
      </w:tr>
      <w:tr>
        <w:tc>
          <w:tcPr>
            <w:tcW w:type="dxa" w:w="35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1q21 gain (CKS1B) — 3–4 copies</w:t>
            </w:r>
          </w:p>
        </w:tc>
        <w:tc>
          <w:tcPr>
            <w:tcW w:type="dxa" w:w="25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ABNORMAL</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ADVERSE feature. Associated with bortezomib resistance, shorter PFS/OS. Present in ~40% of MM patients. Selinexor and isatuximab have shown specific benefit in +1q populations.</w:t>
            </w:r>
          </w:p>
        </w:tc>
      </w:tr>
      <w:tr>
        <w:tc>
          <w:tcPr>
            <w:tcW w:type="dxa" w:w="35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1p32 deletion (CDKN2C)</w:t>
            </w:r>
          </w:p>
        </w:tc>
        <w:tc>
          <w:tcPr>
            <w:tcW w:type="dxa" w:w="25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ABNORMAL</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Additional adverse marker on chromosome 1. Co-occurrence with 1q gain reflects chromosome 1 instability — associated with higher disease burden.</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TP53 deletion (17p)</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NEGATIVE</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Favorable — no TP53 loss. Ultra-high-risk feature absent.</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t(4;14) translocation</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NEGATIVE</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Favorable — associated high-risk marker absent.</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t(14;16) translocation</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NEGATIVE</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Favorable — MAF rearrangement absent.</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t(11;14) / CCND1</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NEGATIVE</w:t>
            </w:r>
          </w:p>
        </w:tc>
        <w:tc>
          <w:tcPr>
            <w:tcW w:type="dxa" w:w="4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Negative — venetoclax would not be relevant target here.</w:t>
            </w:r>
          </w:p>
        </w:tc>
      </w:tr>
    </w:tbl>
    <w:p>
      <w:pPr>
        <w:spacing w:after="0" w:before="80"/>
      </w:pPr>
      <w:r>
        <w:t xml:space="preserve"/>
      </w:r>
    </w:p>
    <w:p>
      <w:pPr>
        <w:spacing w:after="80" w:before="60"/>
      </w:pPr>
      <w:r>
        <w:rPr>
          <w:rFonts w:ascii="Arial" w:cs="Arial" w:eastAsia="Arial" w:hAnsi="Arial"/>
          <w:sz w:val="22"/>
          <w:szCs w:val="22"/>
        </w:rPr>
        <w:t xml:space="preserve">Overall Cytogenetic Assessment: Standard-risk by ISS/R-ISS criteria based on translocations, but the 1q21 gain is now recognized by the IMWG as an adverse prognostic marker. Patient has 1 high-risk feature (1q21 gain) + 1 additional adverse marker (1p32 del). This places him in a high-risk category by current IMWG 2024 guidelines, with implications for treatment intensity and sequencing.</w:t>
      </w:r>
    </w:p>
    <w:p>
      <w:pPr>
        <w:spacing w:after="0" w:before="80"/>
      </w:pPr>
      <w:r>
        <w:t xml:space="preserve"/>
      </w:r>
    </w:p>
    <w:p>
      <w:pPr>
        <w:pStyle w:val="Heading2"/>
        <w:spacing w:after="120" w:before="320"/>
      </w:pPr>
      <w:r>
        <w:rPr>
          <w:rFonts w:ascii="Arial" w:cs="Arial" w:eastAsia="Arial" w:hAnsi="Arial"/>
          <w:b/>
          <w:bCs/>
          <w:color w:val="2E5FA3"/>
          <w:sz w:val="32"/>
          <w:szCs w:val="32"/>
        </w:rPr>
        <w:t xml:space="preserve">2.4 Treatment History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3000"/>
        <w:gridCol w:w="2000"/>
        <w:gridCol w:w="1640"/>
      </w:tblGrid>
      <w:tr>
        <w:trPr>
          <w:tblHeader/>
        </w:trPr>
        <w:tc>
          <w:tcPr>
            <w:tcW w:type="dxa" w:w="14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REGIMEN</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RESPONSE</w:t>
            </w:r>
          </w:p>
        </w:tc>
        <w:tc>
          <w:tcPr>
            <w:tcW w:type="dxa" w:w="16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1st Line Induction</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Jun–Oct 2022 (5 cycles)</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DaraVCD: Daratumumab + Bortezomib + Cyclophosphamide + Dexamethasone</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CR + MRD Negative ✓</w:t>
            </w:r>
          </w:p>
        </w:tc>
        <w:tc>
          <w:tcPr>
            <w:tcW w:type="dxa" w:w="164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Completed</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Maintenance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Jan–Aug 2023 (~8 months)</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Bortezomib 1.25mg SC biweekly + Quarterly Zoledronic acid</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Sustained CR, MRD neg. ✓</w:t>
            </w:r>
          </w:p>
        </w:tc>
        <w:tc>
          <w:tcPr>
            <w:tcW w:type="dxa" w:w="164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Completed</w:t>
            </w:r>
          </w:p>
        </w:tc>
      </w:tr>
      <w:tr>
        <w:tc>
          <w:tcPr>
            <w:tcW w:type="dxa" w:w="144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2nd Line (current)</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Apr 2024 – ongoing</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Carfilzomib + daratumumab + zoledronic acid + pomalidomide through 04 Sep 2024; maintenance daratumumab + pomalidomide from Jan 2025</w:t>
            </w:r>
          </w:p>
        </w:tc>
        <w:tc>
          <w:tcPr>
            <w:tcW w:type="dxa" w:w="2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Partial Response — disease active, not in remission</w:t>
            </w:r>
          </w:p>
        </w:tc>
        <w:tc>
          <w:tcPr>
            <w:tcW w:type="dxa" w:w="164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ONGOING ⚠️</w:t>
            </w:r>
          </w:p>
        </w:tc>
      </w:tr>
    </w:tbl>
    <w:p>
      <w:pPr>
        <w:spacing w:after="0" w:before="80"/>
      </w:pPr>
      <w:r>
        <w:t xml:space="preserve"/>
      </w:r>
    </w:p>
    <w:p>
      <w:pPr>
        <w:pStyle w:val="Heading2"/>
        <w:spacing w:after="120" w:before="320"/>
      </w:pPr>
      <w:r>
        <w:rPr>
          <w:rFonts w:ascii="Arial" w:cs="Arial" w:eastAsia="Arial" w:hAnsi="Arial"/>
          <w:b/>
          <w:bCs/>
          <w:color w:val="2E5FA3"/>
          <w:sz w:val="32"/>
          <w:szCs w:val="32"/>
        </w:rPr>
        <w:t xml:space="preserve">2.5 Current Disease Status (August 2025)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08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MARKER</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VALUE (Aug 2025)</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NORMAL RANGE</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Kappa FLC</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38.71 mg/L</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3.3–19.4 mg/L</w:t>
            </w:r>
          </w:p>
        </w:tc>
        <w:tc>
          <w:tcPr>
            <w:tcW w:type="dxa" w:w="20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ELEVATED ⚠️</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K/L Ratio</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2.335</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0.26–1.65</w:t>
            </w:r>
          </w:p>
        </w:tc>
        <w:tc>
          <w:tcPr>
            <w:tcW w:type="dxa" w:w="20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ELEVATED ⚠️</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 Spike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 g/dL</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 expected</w:t>
            </w:r>
          </w:p>
        </w:tc>
        <w:tc>
          <w:tcPr>
            <w:tcW w:type="dxa" w:w="20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PERSISTENT ⚠️</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Beta-2 Microglobulin</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10,244 ng/mL</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609–2,366 ng/mL</w:t>
            </w:r>
          </w:p>
        </w:tc>
        <w:tc>
          <w:tcPr>
            <w:tcW w:type="dxa" w:w="20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CRITICAL ⛔</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eGFR</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43 mL/min/1.73m²</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&gt;59</w:t>
            </w:r>
          </w:p>
        </w:tc>
        <w:tc>
          <w:tcPr>
            <w:tcW w:type="dxa" w:w="20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CKD G3b ⛔</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Creatinine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1.71 mg/dL</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0.7–1.3 mg/dL</w:t>
            </w:r>
          </w:p>
        </w:tc>
        <w:tc>
          <w:tcPr>
            <w:tcW w:type="dxa" w:w="20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 ⚠️</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Hemoglobin</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11.1 g/dL</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13–17 g/dL</w:t>
            </w:r>
          </w:p>
        </w:tc>
        <w:tc>
          <w:tcPr>
            <w:tcW w:type="dxa" w:w="20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 ⚠️</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Abs. Neutrophils</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1.48 ×10³/µL</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2.0–7.0 ×10³/µL</w:t>
            </w:r>
          </w:p>
        </w:tc>
        <w:tc>
          <w:tcPr>
            <w:tcW w:type="dxa" w:w="20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NEUTROPENIA ⚠️</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IgG</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515 mg/dL (declining)</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650–1,600 mg/dL</w:t>
            </w:r>
          </w:p>
        </w:tc>
        <w:tc>
          <w:tcPr>
            <w:tcW w:type="dxa" w:w="20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 ⚠️</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LDH</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146 U/L</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120–246 U/L</w:t>
            </w:r>
          </w:p>
        </w:tc>
        <w:tc>
          <w:tcPr>
            <w:tcW w:type="dxa" w:w="20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Normal ✓</w:t>
            </w:r>
          </w:p>
        </w:tc>
      </w:tr>
    </w:tbl>
    <w:p>
      <w:pPr>
        <w:spacing w:after="0" w:before="80"/>
      </w:pPr>
      <w:r>
        <w:t xml:space="preserve"/>
      </w:r>
    </w:p>
    <w:p>
      <w:pPr>
        <w:shd w:fill="FCE4D6" w:val="clear"/>
        <w:spacing w:after="80" w:before="80"/>
      </w:pPr>
      <w:r>
        <w:rPr>
          <w:rFonts w:ascii="Arial" w:cs="Arial" w:eastAsia="Arial" w:hAnsi="Arial"/>
          <w:b/>
          <w:bCs/>
          <w:color w:val="C00000"/>
          <w:sz w:val="22"/>
          <w:szCs w:val="22"/>
        </w:rPr>
        <w:t xml:space="preserve">  CRITICAL NOTE: </w:t>
      </w:r>
      <w:r>
        <w:rPr>
          <w:rFonts w:ascii="Arial" w:cs="Arial" w:eastAsia="Arial" w:hAnsi="Arial"/>
          <w:color w:val="C00000"/>
          <w:sz w:val="22"/>
          <w:szCs w:val="22"/>
        </w:rPr>
        <w:t xml:space="preserve">Beta-2 Microglobulin of 10,244 ng/mL is 4x the upper limit of normal. While partly attributable to CKD G3b, this level also reflects significant residual disease burden. IgG at 515 mg/dL is below the lower limit of normal (650 mg/dL) — IVIG supplementation should be strongly considered to reduce infection risk, especially before initiating any immune-based therapy.  </w:t>
      </w:r>
    </w:p>
    <w:p>
      <w:pPr>
        <w:spacing w:after="0" w:before="80"/>
      </w:pPr>
      <w:r>
        <w:t xml:space="preserve"/>
      </w:r>
    </w:p>
    <w:p>
      <w:pPr>
        <w:pStyle w:val="Heading1"/>
        <w:spacing w:after="120" w:before="320"/>
      </w:pPr>
      <w:r>
        <w:rPr>
          <w:rFonts w:ascii="Arial" w:cs="Arial" w:eastAsia="Arial" w:hAnsi="Arial"/>
          <w:b/>
          <w:bCs/>
          <w:color w:val="1F3864"/>
          <w:sz w:val="40"/>
          <w:szCs w:val="40"/>
        </w:rPr>
        <w:t xml:space="preserve">SECTION 3: RISK STRATIFICATION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DOMAIN</w:t>
            </w:r>
          </w:p>
        </w:tc>
        <w:tc>
          <w:tcPr>
            <w:tcW w:type="dxa" w:w="65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CLASSIFICATION &amp; RATIONALE</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ISS Stage at Relapse</w:t>
            </w:r>
          </w:p>
        </w:tc>
        <w:tc>
          <w:tcPr>
            <w:tcW w:type="dxa" w:w="65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Stage III (B2M &gt;5.5 mg/L equivalent; note B2M elevation partly renal). High disease burden.</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Cytogenetic Risk</w:t>
            </w:r>
          </w:p>
        </w:tc>
        <w:tc>
          <w:tcPr>
            <w:tcW w:type="dxa" w:w="65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IMWG High-Risk — 1q21 gain (adverse) + 1p32 deletion. No ultra-high-risk translocation (TP53 del, t(4;14), t(14;16)).</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 Treatment Exposure</w:t>
            </w:r>
          </w:p>
        </w:tc>
        <w:tc>
          <w:tcPr>
            <w:tcW w:type="dxa" w:w="65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Daratumumab-exposed across frontline and salvage/maintenance; bortezomib-exposed; pomalidomide-exposed; carfilzomib stopped after renal TMA/AKI context; lenalidomide intolerant; ASCT-ineligible.</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Drug Class Refractoriness</w:t>
            </w:r>
          </w:p>
        </w:tc>
        <w:tc>
          <w:tcPr>
            <w:tcW w:type="dxa" w:w="65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CD38 antibody (Dara) refractory. Proteasome inhibitor (bortezomib) refractory/exposed. Effectively double-class exposed. NOT yet BCMA-exposed or IMiD-class refractory.</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Renal Risk</w:t>
            </w:r>
          </w:p>
        </w:tc>
        <w:tc>
          <w:tcPr>
            <w:tcW w:type="dxa" w:w="65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CKD G3b: eGFR 39–43. Light-chain cast nephropathy probable contributor. Limits carfilzomib, certain antibiotics, contrast dye. CAR-T eligibility borderline (CARTITUDE-4 required eGFR ≥40).</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Infection Risk</w:t>
            </w:r>
          </w:p>
        </w:tc>
        <w:tc>
          <w:tcPr>
            <w:tcW w:type="dxa" w:w="65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 Absolute neutropenia (ANC &lt;2.0), IgG &lt;650 (hypogammaglobulinemia), prior steroid exposure. IVIG indicated. PJP prophylaxis mandatory with bispecifics.</w:t>
            </w:r>
          </w:p>
        </w:tc>
      </w:tr>
      <w:tr>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Overall Risk Classification</w:t>
            </w:r>
          </w:p>
        </w:tc>
        <w:tc>
          <w:tcPr>
            <w:tcW w:type="dxa" w:w="65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HIGH RISK, RRMM — daratumumab-exposed, bortezomib-exposed, pomalidomide-exposed, lenalidomide-intolerant, carfilzomib-associated renal TMA/AKI concern, ASCT-ineligible. No reviewed record documents BCMA-directed therapy, so BCMA-directed therapy remains the next critical treatment frontier if current specialist review confirms eligibility.</w:t>
            </w:r>
          </w:p>
        </w:tc>
      </w:tr>
    </w:tbl>
    <w:p>
      <w:pPr>
        <w:spacing w:after="0" w:before="80"/>
      </w:pPr>
      <w:r>
        <w:t xml:space="preserve"/>
      </w:r>
    </w:p>
    <w:p>
      <w:r>
        <w:br w:type="page"/>
      </w:r>
    </w:p>
    <w:p>
      <w:pPr>
        <w:pStyle w:val="Heading1"/>
        <w:spacing w:after="120" w:before="320"/>
      </w:pPr>
      <w:r>
        <w:rPr>
          <w:rFonts w:ascii="Arial" w:cs="Arial" w:eastAsia="Arial" w:hAnsi="Arial"/>
          <w:b/>
          <w:bCs/>
          <w:color w:val="1F3864"/>
          <w:sz w:val="40"/>
          <w:szCs w:val="40"/>
        </w:rPr>
        <w:t xml:space="preserve">SECTION 4: PRIORITIZED TREATMENT OPTIONS</w:t>
      </w:r>
    </w:p>
    <w:p>
      <w:pPr>
        <w:spacing w:after="80" w:before="60"/>
      </w:pPr>
      <w:r>
        <w:rPr>
          <w:rFonts w:ascii="Arial" w:cs="Arial" w:eastAsia="Arial" w:hAnsi="Arial"/>
          <w:sz w:val="22"/>
          <w:szCs w:val="22"/>
        </w:rPr>
        <w:t xml:space="preserve">The following treatment options are ranked by clinical appropriateness for this specific patient profile — Daratumumab-refractory, bortezomib-exposed, lenalidomide-intolerant, ASCT-ineligible, BCMA-naive, CKD G3b, age ~70.</w:t>
      </w:r>
    </w:p>
    <w:p>
      <w:pPr>
        <w:spacing w:after="0" w:before="80"/>
      </w:pPr>
      <w:r>
        <w:t xml:space="preserve"/>
      </w:r>
    </w:p>
    <w:p>
      <w:pPr>
        <w:shd w:fill="1F3864" w:val="clear"/>
        <w:spacing w:after="0" w:before="200"/>
      </w:pPr>
      <w:r>
        <w:rPr>
          <w:rFonts w:ascii="Arial" w:cs="Arial" w:eastAsia="Arial" w:hAnsi="Arial"/>
          <w:b/>
          <w:bCs/>
          <w:color w:val="FFFFFF"/>
          <w:sz w:val="26"/>
          <w:szCs w:val="26"/>
        </w:rPr>
        <w:t xml:space="preserve">  PRIORITY 1  |  BCMA-Directed CAR-T Cell Therapy (Ciltacabtagene Autoleucel / Carvykti)  </w:t>
      </w:r>
    </w:p>
    <w:p>
      <w:pPr>
        <w:spacing w:after="0" w:before="60"/>
      </w:pPr>
      <w:r>
        <w:t xml:space="preserve"/>
      </w:r>
    </w:p>
    <w:p>
      <w:pPr>
        <w:pStyle w:val="Heading3"/>
        <w:spacing w:after="120" w:before="200"/>
      </w:pPr>
      <w:r>
        <w:rPr>
          <w:rFonts w:ascii="Arial" w:cs="Arial" w:eastAsia="Arial" w:hAnsi="Arial"/>
          <w:b/>
          <w:bCs/>
          <w:color w:val="404040"/>
          <w:sz w:val="26"/>
          <w:szCs w:val="26"/>
        </w:rPr>
        <w:t xml:space="preserve">Overview</w:t>
      </w:r>
    </w:p>
    <w:p>
      <w:pPr>
        <w:spacing w:after="80" w:before="60"/>
      </w:pPr>
      <w:r>
        <w:rPr>
          <w:rFonts w:ascii="Arial" w:cs="Arial" w:eastAsia="Arial" w:hAnsi="Arial"/>
          <w:sz w:val="22"/>
          <w:szCs w:val="22"/>
        </w:rPr>
        <w:t xml:space="preserve">Ciltacabtagene autoleucel (cilta-cel, Carvykti) is a BCMA-directed, dual-epitope-targeting CAR-T cell therapy. It received FDA approval in 2022 for ≥4 prior lines, and a landmark expanded approval in April 2024 (CARTITUDE-4 trial) for patients after ≥1 prior line including a PI and IMiD, who are lenalidomide-refractory. Idecabtagene vicleucel (ide-cel, Abecma) is the second approved BCMA CAR-T.</w:t>
      </w:r>
    </w:p>
    <w:p>
      <w:pPr>
        <w:pStyle w:val="Heading3"/>
        <w:spacing w:after="120" w:before="200"/>
      </w:pPr>
      <w:r>
        <w:rPr>
          <w:rFonts w:ascii="Arial" w:cs="Arial" w:eastAsia="Arial" w:hAnsi="Arial"/>
          <w:b/>
          <w:bCs/>
          <w:color w:val="404040"/>
          <w:sz w:val="26"/>
          <w:szCs w:val="26"/>
        </w:rPr>
        <w:t xml:space="preserve">Why This Is Priority 1 for This Patient</w:t>
      </w:r>
    </w:p>
    <w:p>
      <w:pPr>
        <w:pStyle w:val="ListParagraph"/>
        <w:numPr>
          <w:ilvl w:val="0"/>
          <w:numId w:val="2"/>
        </w:numPr>
        <w:spacing w:after="40" w:before="40"/>
      </w:pPr>
      <w:r>
        <w:rPr>
          <w:rFonts w:ascii="Arial" w:cs="Arial" w:eastAsia="Arial" w:hAnsi="Arial"/>
          <w:sz w:val="22"/>
          <w:szCs w:val="22"/>
        </w:rPr>
        <w:t xml:space="preserve">Patient is BCMA-naive — no prior BCMA-targeted therapy. This is the ideal first BCMA intervention.</w:t>
      </w:r>
    </w:p>
    <w:p>
      <w:pPr>
        <w:pStyle w:val="ListParagraph"/>
        <w:numPr>
          <w:ilvl w:val="0"/>
          <w:numId w:val="2"/>
        </w:numPr>
        <w:spacing w:after="40" w:before="40"/>
      </w:pPr>
      <w:r>
        <w:rPr>
          <w:rFonts w:ascii="Arial" w:cs="Arial" w:eastAsia="Arial" w:hAnsi="Arial"/>
          <w:sz w:val="22"/>
          <w:szCs w:val="22"/>
        </w:rPr>
        <w:t xml:space="preserve">Daratumumab-refractory disease: CARTITUDE-4 and real-world data show CAR-T outperforms standard of care in this setting.</w:t>
      </w:r>
    </w:p>
    <w:p>
      <w:pPr>
        <w:pStyle w:val="ListParagraph"/>
        <w:numPr>
          <w:ilvl w:val="0"/>
          <w:numId w:val="2"/>
        </w:numPr>
        <w:spacing w:after="40" w:before="40"/>
      </w:pPr>
      <w:r>
        <w:rPr>
          <w:rFonts w:ascii="Arial" w:cs="Arial" w:eastAsia="Arial" w:hAnsi="Arial"/>
          <w:sz w:val="22"/>
          <w:szCs w:val="22"/>
        </w:rPr>
        <w:t xml:space="preserve">BCMA CAR-T offers the potential for deep, durable MRD-negative responses — the only therapy that has achieved &gt;60% MRD negativity rates in this population.</w:t>
      </w:r>
    </w:p>
    <w:p>
      <w:pPr>
        <w:pStyle w:val="ListParagraph"/>
        <w:numPr>
          <w:ilvl w:val="0"/>
          <w:numId w:val="2"/>
        </w:numPr>
        <w:spacing w:after="40" w:before="40"/>
      </w:pPr>
      <w:r>
        <w:rPr>
          <w:rFonts w:ascii="Arial" w:cs="Arial" w:eastAsia="Arial" w:hAnsi="Arial"/>
          <w:sz w:val="22"/>
          <w:szCs w:val="22"/>
        </w:rPr>
        <w:t xml:space="preserve">Patient previously achieved MRD-negative CR with DaraVCD, indicating his disease is biologically capable of deep remission.</w:t>
      </w:r>
    </w:p>
    <w:p>
      <w:pPr>
        <w:pStyle w:val="ListParagraph"/>
        <w:numPr>
          <w:ilvl w:val="0"/>
          <w:numId w:val="2"/>
        </w:numPr>
        <w:spacing w:after="40" w:before="40"/>
      </w:pPr>
      <w:r>
        <w:rPr>
          <w:rFonts w:ascii="Arial" w:cs="Arial" w:eastAsia="Arial" w:hAnsi="Arial"/>
          <w:sz w:val="22"/>
          <w:szCs w:val="22"/>
        </w:rPr>
        <w:t xml:space="preserve">Not eligible for ASCT — CAR-T is the one-time cellular therapy alternative.</w:t>
      </w:r>
    </w:p>
    <w:p>
      <w:pPr>
        <w:pStyle w:val="Heading3"/>
        <w:spacing w:after="120" w:before="200"/>
      </w:pPr>
      <w:r>
        <w:rPr>
          <w:rFonts w:ascii="Arial" w:cs="Arial" w:eastAsia="Arial" w:hAnsi="Arial"/>
          <w:b/>
          <w:bCs/>
          <w:color w:val="404040"/>
          <w:sz w:val="26"/>
          <w:szCs w:val="26"/>
        </w:rPr>
        <w:t xml:space="preserve">Key Trial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rPr>
          <w:tblHeader/>
        </w:trP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TRIAL</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ORR</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 RATE</w:t>
            </w:r>
          </w:p>
        </w:tc>
        <w:tc>
          <w:tcPr>
            <w:tcW w:type="dxa" w:w="25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PFS / OS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CARTITUDE-1 (Phase 1b/2)</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97.9%</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82.5% stringent CR</w:t>
            </w:r>
          </w:p>
        </w:tc>
        <w:tc>
          <w:tcPr>
            <w:tcW w:type="dxa" w:w="25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Median PFS: 34.9 months (54-month follow-up)</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CARTITUDE-4 (Phase 3 vs SoC)</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84.6% vs 67.3%</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73.1% vs 21.8% CR</w:t>
            </w:r>
          </w:p>
        </w:tc>
        <w:tc>
          <w:tcPr>
            <w:tcW w:type="dxa" w:w="25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HR 0.26; 24-month PFS 84.4% vs 48.2%</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Real-World (Sidana et al. 2025)</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~85%</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 CR</w:t>
            </w:r>
          </w:p>
        </w:tc>
        <w:tc>
          <w:tcPr>
            <w:tcW w:type="dxa" w:w="25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Safety similar including in renal impairment subgroup</w:t>
            </w:r>
          </w:p>
        </w:tc>
      </w:tr>
    </w:tbl>
    <w:p>
      <w:pPr>
        <w:spacing w:after="0" w:before="80"/>
      </w:pPr>
      <w:r>
        <w:t xml:space="preserve"/>
      </w:r>
    </w:p>
    <w:p>
      <w:pPr>
        <w:pStyle w:val="Heading3"/>
        <w:spacing w:after="120" w:before="200"/>
      </w:pPr>
      <w:r>
        <w:rPr>
          <w:rFonts w:ascii="Arial" w:cs="Arial" w:eastAsia="Arial" w:hAnsi="Arial"/>
          <w:b/>
          <w:bCs/>
          <w:color w:val="404040"/>
          <w:sz w:val="26"/>
          <w:szCs w:val="26"/>
        </w:rPr>
        <w:t xml:space="preserve">Renal Considerations (CKD G3b, eGFR 39–43)</w:t>
      </w:r>
    </w:p>
    <w:p>
      <w:pPr>
        <w:shd w:fill="FFF2CC" w:val="clear"/>
        <w:spacing w:after="80" w:before="80"/>
      </w:pPr>
      <w:r>
        <w:rPr>
          <w:rFonts w:ascii="Arial" w:cs="Arial" w:eastAsia="Arial" w:hAnsi="Arial"/>
          <w:b/>
          <w:bCs/>
          <w:color w:val="C55A11"/>
          <w:sz w:val="22"/>
          <w:szCs w:val="22"/>
        </w:rPr>
        <w:t xml:space="preserve">  RENAL ANALYSIS: </w:t>
      </w:r>
      <w:r>
        <w:rPr>
          <w:rFonts w:ascii="Arial" w:cs="Arial" w:eastAsia="Arial" w:hAnsi="Arial"/>
          <w:sz w:val="22"/>
          <w:szCs w:val="22"/>
        </w:rPr>
        <w:t xml:space="preserve">CARTITUDE-4 eligibility required eGFR ≥40 mL/min/1.73m² by MDRD. Patient's eGFR has fluctuated between 39–43 — he was at 43 in August 2025, placing him at borderline eligibility. A 2025 multicenter real-world study (Sidana et al., Blood 2025) demonstrated that cilta-cel was administered safely to patients with renal impairment (eGFR &lt;40), including 8 patients on dialysis, with comparable severe cytopenias and no significant renal function decline post-infusion. This supports pursuit of CAR-T even with borderline renal function, subject to expert assessment.  </w:t>
      </w:r>
    </w:p>
    <w:p>
      <w:pPr>
        <w:spacing w:after="0" w:before="40"/>
      </w:pPr>
      <w:r>
        <w:t xml:space="preserve"/>
      </w:r>
    </w:p>
    <w:p>
      <w:pPr>
        <w:pStyle w:val="Heading3"/>
        <w:spacing w:after="120" w:before="200"/>
      </w:pPr>
      <w:r>
        <w:rPr>
          <w:rFonts w:ascii="Arial" w:cs="Arial" w:eastAsia="Arial" w:hAnsi="Arial"/>
          <w:b/>
          <w:bCs/>
          <w:color w:val="404040"/>
          <w:sz w:val="26"/>
          <w:szCs w:val="26"/>
        </w:rPr>
        <w:t xml:space="preserve">India Access Strategy</w:t>
      </w:r>
    </w:p>
    <w:p>
      <w:pPr>
        <w:pStyle w:val="ListParagraph"/>
        <w:numPr>
          <w:ilvl w:val="0"/>
          <w:numId w:val="2"/>
        </w:numPr>
        <w:spacing w:after="40" w:before="40"/>
      </w:pPr>
      <w:r>
        <w:rPr>
          <w:rFonts w:ascii="Arial" w:cs="Arial" w:eastAsia="Arial" w:hAnsi="Arial"/>
          <w:sz w:val="22"/>
          <w:szCs w:val="22"/>
        </w:rPr>
        <w:t xml:space="preserve">Tata Memorial Hospital (Mumbai) — India's premier cancer center; has a CAR-T program and has published real-world CAR-T outcomes; access to imported cilta-cel may be possible via compassionate use or clinical trial</w:t>
      </w:r>
    </w:p>
    <w:p>
      <w:pPr>
        <w:pStyle w:val="ListParagraph"/>
        <w:numPr>
          <w:ilvl w:val="0"/>
          <w:numId w:val="2"/>
        </w:numPr>
        <w:spacing w:after="40" w:before="40"/>
      </w:pPr>
      <w:r>
        <w:rPr>
          <w:rFonts w:ascii="Arial" w:cs="Arial" w:eastAsia="Arial" w:hAnsi="Arial"/>
          <w:sz w:val="22"/>
          <w:szCs w:val="22"/>
        </w:rPr>
        <w:t xml:space="preserve">ImmunoACT / IIT Bombay — developed talicabtagene autoleucel (tali-cel), India's own BCMA CAR-T; Phase 1 data (ASH publication 2025: 'Broadening CAR-T Access') shows feasibility at 1/10th the cost of Western products</w:t>
      </w:r>
    </w:p>
    <w:p>
      <w:pPr>
        <w:pStyle w:val="ListParagraph"/>
        <w:numPr>
          <w:ilvl w:val="0"/>
          <w:numId w:val="2"/>
        </w:numPr>
        <w:spacing w:after="40" w:before="40"/>
      </w:pPr>
      <w:r>
        <w:rPr>
          <w:rFonts w:ascii="Arial" w:cs="Arial" w:eastAsia="Arial" w:hAnsi="Arial"/>
          <w:sz w:val="22"/>
          <w:szCs w:val="22"/>
        </w:rPr>
        <w:t xml:space="preserve">AIIMS Delhi — published development of novel anti-BCMA CAR-T candidates; clinical trials expected</w:t>
      </w:r>
    </w:p>
    <w:p>
      <w:pPr>
        <w:pStyle w:val="ListParagraph"/>
        <w:numPr>
          <w:ilvl w:val="0"/>
          <w:numId w:val="2"/>
        </w:numPr>
        <w:spacing w:after="40" w:before="40"/>
      </w:pPr>
      <w:r>
        <w:rPr>
          <w:rFonts w:ascii="Arial" w:cs="Arial" w:eastAsia="Arial" w:hAnsi="Arial"/>
          <w:sz w:val="22"/>
          <w:szCs w:val="22"/>
        </w:rPr>
        <w:t xml:space="preserve">PRG1801 (BCMA CAR-T, Phase 1) — active trial in India for RRMM; enrollment status should be urgently verified</w:t>
      </w:r>
    </w:p>
    <w:p>
      <w:pPr>
        <w:pStyle w:val="ListParagraph"/>
        <w:numPr>
          <w:ilvl w:val="0"/>
          <w:numId w:val="2"/>
        </w:numPr>
        <w:spacing w:after="40" w:before="40"/>
      </w:pPr>
      <w:r>
        <w:rPr>
          <w:rFonts w:ascii="Arial" w:cs="Arial" w:eastAsia="Arial" w:hAnsi="Arial"/>
          <w:sz w:val="22"/>
          <w:szCs w:val="22"/>
        </w:rPr>
        <w:t xml:space="preserve">Medical tourism option: Singapore (National Cancer Centre Singapore), Thailand (Bumrungrad), or UAE for cilta-cel if India regulatory access delayed</w:t>
      </w:r>
    </w:p>
    <w:p>
      <w:pPr>
        <w:spacing w:after="0" w:before="40"/>
      </w:pPr>
      <w:r>
        <w:t xml:space="preserve"/>
      </w:r>
    </w:p>
    <w:p>
      <w:pPr>
        <w:spacing w:after="80" w:before="60"/>
      </w:pPr>
      <w:r>
        <w:rPr>
          <w:rFonts w:ascii="Arial" w:cs="Arial" w:eastAsia="Arial" w:hAnsi="Arial"/>
          <w:sz w:val="22"/>
          <w:szCs w:val="22"/>
        </w:rPr>
        <w:t xml:space="preserve">Citation: Sidana et al., Blood 2025, vol. 145(1):85 — Safety and efficacy of standard-of-care ciltacabtagene autoleucel for RRMM (real-world, with renal impairment subgroup).</w:t>
      </w:r>
    </w:p>
    <w:p>
      <w:pPr>
        <w:spacing w:after="80" w:before="60"/>
      </w:pPr>
      <w:r>
        <w:rPr>
          <w:rFonts w:ascii="Arial" w:cs="Arial" w:eastAsia="Arial" w:hAnsi="Arial"/>
          <w:sz w:val="22"/>
          <w:szCs w:val="22"/>
        </w:rPr>
        <w:t xml:space="preserve">Citation: CARTITUDE-4 (San-Miguel et al., NEJM 2023) — Phase 3 randomized trial of cilta-cel vs. standard of care.</w:t>
      </w:r>
    </w:p>
    <w:p>
      <w:pPr>
        <w:spacing w:after="80" w:before="60"/>
      </w:pPr>
      <w:r>
        <w:rPr>
          <w:rFonts w:ascii="Arial" w:cs="Arial" w:eastAsia="Arial" w:hAnsi="Arial"/>
          <w:sz w:val="22"/>
          <w:szCs w:val="22"/>
        </w:rPr>
        <w:t xml:space="preserve">Citation: ASH 2025, Blood &amp; Immune Cellular Therapy — Talicabtagene autoleucel real-world experience in India.</w:t>
      </w:r>
    </w:p>
    <w:p>
      <w:pPr>
        <w:pBdr>
          <w:bottom w:val="single" w:color="2E5FA3" w:sz="6"/>
        </w:pBdr>
        <w:spacing w:after="120" w:before="160"/>
      </w:pPr>
      <w:r>
        <w:t xml:space="preserve"/>
      </w:r>
    </w:p>
    <w:p>
      <w:pPr>
        <w:shd w:fill="1A5276" w:val="clear"/>
        <w:spacing w:after="0" w:before="200"/>
      </w:pPr>
      <w:r>
        <w:rPr>
          <w:rFonts w:ascii="Arial" w:cs="Arial" w:eastAsia="Arial" w:hAnsi="Arial"/>
          <w:b/>
          <w:bCs/>
          <w:color w:val="FFFFFF"/>
          <w:sz w:val="26"/>
          <w:szCs w:val="26"/>
        </w:rPr>
        <w:t xml:space="preserve">  PRIORITY 2  |  BCMA Bispecific Antibody — Teclistamab ± Daratumumab (MajesTEC / Tecvayli)  </w:t>
      </w:r>
    </w:p>
    <w:p>
      <w:pPr>
        <w:spacing w:after="0" w:before="60"/>
      </w:pPr>
      <w:r>
        <w:t xml:space="preserve"/>
      </w:r>
    </w:p>
    <w:p>
      <w:pPr>
        <w:pStyle w:val="Heading3"/>
        <w:spacing w:after="120" w:before="200"/>
      </w:pPr>
      <w:r>
        <w:rPr>
          <w:rFonts w:ascii="Arial" w:cs="Arial" w:eastAsia="Arial" w:hAnsi="Arial"/>
          <w:b/>
          <w:bCs/>
          <w:color w:val="404040"/>
          <w:sz w:val="26"/>
          <w:szCs w:val="26"/>
        </w:rPr>
        <w:t xml:space="preserve">Overview</w:t>
      </w:r>
    </w:p>
    <w:p>
      <w:pPr>
        <w:spacing w:after="80" w:before="60"/>
      </w:pPr>
      <w:r>
        <w:rPr>
          <w:rFonts w:ascii="Arial" w:cs="Arial" w:eastAsia="Arial" w:hAnsi="Arial"/>
          <w:sz w:val="22"/>
          <w:szCs w:val="22"/>
        </w:rPr>
        <w:t xml:space="preserve">Teclistamab (Tecvayli, Johnson &amp; Johnson) is a BCMA × CD3 bispecific T-cell engager — it simultaneously binds BCMA on myeloma cells and CD3 on T-cells, redirecting T-cells to kill myeloma. FDA approved August 2022 for ≥4 prior lines. If CAR-T is unavailable or the patient is ineligible, teclistamab — especially in combination with daratumumab — represents the most data-supported next-best alternative.</w:t>
      </w:r>
    </w:p>
    <w:p>
      <w:pPr>
        <w:pStyle w:val="Heading3"/>
        <w:spacing w:after="120" w:before="200"/>
      </w:pPr>
      <w:r>
        <w:rPr>
          <w:rFonts w:ascii="Arial" w:cs="Arial" w:eastAsia="Arial" w:hAnsi="Arial"/>
          <w:b/>
          <w:bCs/>
          <w:color w:val="404040"/>
          <w:sz w:val="26"/>
          <w:szCs w:val="26"/>
        </w:rPr>
        <w:t xml:space="preserve">Why This Is Critical for This Patient</w:t>
      </w:r>
    </w:p>
    <w:p>
      <w:pPr>
        <w:pStyle w:val="ListParagraph"/>
        <w:numPr>
          <w:ilvl w:val="0"/>
          <w:numId w:val="2"/>
        </w:numPr>
        <w:spacing w:after="40" w:before="40"/>
      </w:pPr>
      <w:r>
        <w:rPr>
          <w:rFonts w:ascii="Arial" w:cs="Arial" w:eastAsia="Arial" w:hAnsi="Arial"/>
          <w:sz w:val="22"/>
          <w:szCs w:val="22"/>
        </w:rPr>
        <w:t xml:space="preserve">Patient is BCMA-naive — highest likelihood of deep response to BCMA targeting.</w:t>
      </w:r>
    </w:p>
    <w:p>
      <w:pPr>
        <w:pStyle w:val="ListParagraph"/>
        <w:numPr>
          <w:ilvl w:val="0"/>
          <w:numId w:val="2"/>
        </w:numPr>
        <w:spacing w:after="40" w:before="40"/>
      </w:pPr>
      <w:r>
        <w:rPr>
          <w:rFonts w:ascii="Arial" w:cs="Arial" w:eastAsia="Arial" w:hAnsi="Arial"/>
          <w:sz w:val="22"/>
          <w:szCs w:val="22"/>
        </w:rPr>
        <w:t xml:space="preserve">MajesTEC-3 (published NEJM January 2026) demonstrated teclistamab + daratumumab is superior to second-line standard of care (DPd/DVd) with an 83% reduction in progression risk.</w:t>
      </w:r>
    </w:p>
    <w:p>
      <w:pPr>
        <w:pStyle w:val="ListParagraph"/>
        <w:numPr>
          <w:ilvl w:val="0"/>
          <w:numId w:val="2"/>
        </w:numPr>
        <w:spacing w:after="40" w:before="40"/>
      </w:pPr>
      <w:r>
        <w:rPr>
          <w:rFonts w:ascii="Arial" w:cs="Arial" w:eastAsia="Arial" w:hAnsi="Arial"/>
          <w:sz w:val="22"/>
          <w:szCs w:val="22"/>
        </w:rPr>
        <w:t xml:space="preserve">This is the most impactful data set for a patient in exactly this position: 1 prior line, PI + Dara exposed.</w:t>
      </w:r>
    </w:p>
    <w:p>
      <w:pPr>
        <w:pStyle w:val="Heading3"/>
        <w:spacing w:after="120" w:before="200"/>
      </w:pPr>
      <w:r>
        <w:rPr>
          <w:rFonts w:ascii="Arial" w:cs="Arial" w:eastAsia="Arial" w:hAnsi="Arial"/>
          <w:b/>
          <w:bCs/>
          <w:color w:val="404040"/>
          <w:sz w:val="26"/>
          <w:szCs w:val="26"/>
        </w:rPr>
        <w:t xml:space="preserve">Landmark Trial: MajesTEC-3 (NEJM, January 2026)</w:t>
      </w:r>
    </w:p>
    <w:p>
      <w:pPr>
        <w:shd w:fill="E2EFDA" w:val="clear"/>
        <w:spacing w:after="80" w:before="80"/>
      </w:pPr>
      <w:r>
        <w:rPr>
          <w:rFonts w:ascii="Arial" w:cs="Arial" w:eastAsia="Arial" w:hAnsi="Arial"/>
          <w:b/>
          <w:bCs/>
          <w:color w:val="375623"/>
          <w:sz w:val="22"/>
          <w:szCs w:val="22"/>
        </w:rPr>
        <w:t xml:space="preserve">  MajesTEC-3 HEADLINE RESULT: </w:t>
      </w:r>
      <w:r>
        <w:rPr>
          <w:rFonts w:ascii="Arial" w:cs="Arial" w:eastAsia="Arial" w:hAnsi="Arial"/>
          <w:sz w:val="22"/>
          <w:szCs w:val="22"/>
        </w:rPr>
        <w:t xml:space="preserve">In patients with 1–3 prior lines of therapy (PI + IMiD exposed), Teclistamab + Daratumumab (Tec-Dara) showed 36-month PFS of 83.4% vs 29.7% for standard-of-care DPd/DVd (HR 0.17; 95% CI 0.12–0.23; p&lt;0.001). CR or better: 81.8% vs 32.1%. MRD negativity: 58.4% vs 17.1%. OS benefit: HR 0.46 — 54% reduction in death risk. This is one of the most profound survival benefits ever reported in RRMM.  </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rPr>
          <w:tblHeader/>
        </w:trP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TEC-DARA</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DPd / DVd (SoC)</w:t>
            </w:r>
          </w:p>
        </w:tc>
        <w:tc>
          <w:tcPr>
            <w:tcW w:type="dxa" w:w="25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HR / p-VALUE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36-month PFS</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83.4%</w:t>
            </w:r>
          </w:p>
        </w:tc>
        <w:tc>
          <w:tcPr>
            <w:tcW w:type="dxa" w:w="25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29.7%</w:t>
            </w:r>
          </w:p>
        </w:tc>
        <w:tc>
          <w:tcPr>
            <w:tcW w:type="dxa" w:w="25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HR 0.17 (p&lt;0.001)</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Overall Response Rate</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89.0%</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75.3%</w:t>
            </w:r>
          </w:p>
        </w:tc>
        <w:tc>
          <w:tcPr>
            <w:tcW w:type="dxa" w:w="25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p&lt;0.001</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CR or Better</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81.8%</w:t>
            </w:r>
          </w:p>
        </w:tc>
        <w:tc>
          <w:tcPr>
            <w:tcW w:type="dxa" w:w="25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32.1%</w:t>
            </w:r>
          </w:p>
        </w:tc>
        <w:tc>
          <w:tcPr>
            <w:tcW w:type="dxa" w:w="25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p&lt;0.001</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MRD Negativity (10⁻⁵)</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58.4%</w:t>
            </w:r>
          </w:p>
        </w:tc>
        <w:tc>
          <w:tcPr>
            <w:tcW w:type="dxa" w:w="25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17.1%</w:t>
            </w:r>
          </w:p>
        </w:tc>
        <w:tc>
          <w:tcPr>
            <w:tcW w:type="dxa" w:w="25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p&lt;0.001</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36-month OS</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83.3%</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65.0%</w:t>
            </w:r>
          </w:p>
        </w:tc>
        <w:tc>
          <w:tcPr>
            <w:tcW w:type="dxa" w:w="25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HR 0.46 (p&lt;0.0001)</w:t>
            </w:r>
          </w:p>
        </w:tc>
      </w:tr>
    </w:tbl>
    <w:p>
      <w:pPr>
        <w:spacing w:after="0" w:before="60"/>
      </w:pPr>
      <w:r>
        <w:t xml:space="preserve"/>
      </w:r>
    </w:p>
    <w:p>
      <w:pPr>
        <w:pStyle w:val="Heading3"/>
        <w:spacing w:after="120" w:before="200"/>
      </w:pPr>
      <w:r>
        <w:rPr>
          <w:rFonts w:ascii="Arial" w:cs="Arial" w:eastAsia="Arial" w:hAnsi="Arial"/>
          <w:b/>
          <w:bCs/>
          <w:color w:val="404040"/>
          <w:sz w:val="26"/>
          <w:szCs w:val="26"/>
        </w:rPr>
        <w:t xml:space="preserve">Safety: Infection Risk — CRITICAL</w:t>
      </w:r>
    </w:p>
    <w:p>
      <w:pPr>
        <w:shd w:fill="FCE4D6" w:val="clear"/>
        <w:spacing w:after="80" w:before="80"/>
      </w:pPr>
      <w:r>
        <w:rPr>
          <w:rFonts w:ascii="Arial" w:cs="Arial" w:eastAsia="Arial" w:hAnsi="Arial"/>
          <w:b/>
          <w:bCs/>
          <w:color w:val="C00000"/>
          <w:sz w:val="22"/>
          <w:szCs w:val="22"/>
        </w:rPr>
        <w:t xml:space="preserve">  ⚠️ INFECTION WARNING: </w:t>
      </w:r>
      <w:r>
        <w:rPr>
          <w:rFonts w:ascii="Arial" w:cs="Arial" w:eastAsia="Arial" w:hAnsi="Arial"/>
          <w:color w:val="C00000"/>
          <w:sz w:val="22"/>
          <w:szCs w:val="22"/>
        </w:rPr>
        <w:t xml:space="preserve">96.5% of patients on Tec-Dara experienced infections of any grade. 13 patients (4.6%) died from infection. After a protocol amendment mandating IVIG (immunoglobulin replacement), only 1 infection-related death occurred in subsequent patients. For this patient, whose IgG is already 515 mg/dL (below normal), IVIG prophylaxis is mandatory before starting any bispecific therapy. Antimicrobial prophylaxis (antiviral, antifungal, PJP) is essential.  </w:t>
      </w:r>
    </w:p>
    <w:p>
      <w:pPr>
        <w:spacing w:after="0" w:before="40"/>
      </w:pPr>
      <w:r>
        <w:t xml:space="preserve"/>
      </w:r>
    </w:p>
    <w:p>
      <w:pPr>
        <w:spacing w:after="80" w:before="60"/>
      </w:pPr>
      <w:r>
        <w:rPr>
          <w:rFonts w:ascii="Arial" w:cs="Arial" w:eastAsia="Arial" w:hAnsi="Arial"/>
          <w:sz w:val="22"/>
          <w:szCs w:val="22"/>
        </w:rPr>
        <w:t xml:space="preserve">Citation: Teclistamab plus Daratumumab in R/R Multiple Myeloma (MajesTEC-3). NEJM, January 2026. DOI: 10.1056/NEJMoa2514663.</w:t>
      </w:r>
    </w:p>
    <w:p>
      <w:pPr>
        <w:pBdr>
          <w:bottom w:val="single" w:color="2E5FA3" w:sz="6"/>
        </w:pBdr>
        <w:spacing w:after="120" w:before="160"/>
      </w:pPr>
      <w:r>
        <w:t xml:space="preserve"/>
      </w:r>
    </w:p>
    <w:p>
      <w:pPr>
        <w:shd w:fill="1E6B6B" w:val="clear"/>
        <w:spacing w:after="0" w:before="200"/>
      </w:pPr>
      <w:r>
        <w:rPr>
          <w:rFonts w:ascii="Arial" w:cs="Arial" w:eastAsia="Arial" w:hAnsi="Arial"/>
          <w:b/>
          <w:bCs/>
          <w:color w:val="FFFFFF"/>
          <w:sz w:val="26"/>
          <w:szCs w:val="26"/>
        </w:rPr>
        <w:t xml:space="preserve">  PRIORITY 3  |  GPRC5D Bispecific Antibody — Talquetamab ± Daratumumab (Talvey / TRIMM-2)  </w:t>
      </w:r>
    </w:p>
    <w:p>
      <w:pPr>
        <w:spacing w:after="0" w:before="60"/>
      </w:pPr>
      <w:r>
        <w:t xml:space="preserve"/>
      </w:r>
    </w:p>
    <w:p>
      <w:pPr>
        <w:pStyle w:val="Heading3"/>
        <w:spacing w:after="120" w:before="200"/>
      </w:pPr>
      <w:r>
        <w:rPr>
          <w:rFonts w:ascii="Arial" w:cs="Arial" w:eastAsia="Arial" w:hAnsi="Arial"/>
          <w:b/>
          <w:bCs/>
          <w:color w:val="404040"/>
          <w:sz w:val="26"/>
          <w:szCs w:val="26"/>
        </w:rPr>
        <w:t xml:space="preserve">Overview &amp; Unique Advantage</w:t>
      </w:r>
    </w:p>
    <w:p>
      <w:pPr>
        <w:spacing w:after="80" w:before="60"/>
      </w:pPr>
      <w:r>
        <w:rPr>
          <w:rFonts w:ascii="Arial" w:cs="Arial" w:eastAsia="Arial" w:hAnsi="Arial"/>
          <w:sz w:val="22"/>
          <w:szCs w:val="22"/>
        </w:rPr>
        <w:t xml:space="preserve">Talquetamab (Talvey, J&amp;J) targets GPRC5D — a G-protein coupled receptor expressed on plasma cells but NOT on B cells. This gives it a fundamentally different mechanism from BCMA-targeted therapies, with several critical advantages for this patient:</w:t>
      </w:r>
    </w:p>
    <w:p>
      <w:pPr>
        <w:pStyle w:val="ListParagraph"/>
        <w:numPr>
          <w:ilvl w:val="0"/>
          <w:numId w:val="2"/>
        </w:numPr>
        <w:spacing w:after="40" w:before="40"/>
      </w:pPr>
      <w:r>
        <w:rPr>
          <w:rFonts w:ascii="Arial" w:cs="Arial" w:eastAsia="Arial" w:hAnsi="Arial"/>
          <w:sz w:val="22"/>
          <w:szCs w:val="22"/>
        </w:rPr>
        <w:t xml:space="preserve">Can be used SEQUENTIALLY after BCMA CAR-T or bispecifics — different antigen target</w:t>
      </w:r>
    </w:p>
    <w:p>
      <w:pPr>
        <w:pStyle w:val="ListParagraph"/>
        <w:numPr>
          <w:ilvl w:val="0"/>
          <w:numId w:val="2"/>
        </w:numPr>
        <w:spacing w:after="40" w:before="40"/>
      </w:pPr>
      <w:r>
        <w:rPr>
          <w:rFonts w:ascii="Arial" w:cs="Arial" w:eastAsia="Arial" w:hAnsi="Arial"/>
          <w:sz w:val="22"/>
          <w:szCs w:val="22"/>
        </w:rPr>
        <w:t xml:space="preserve">Lower infection rates compared to BCMA-directed therapies (GPRC5D not expressed on B cells)</w:t>
      </w:r>
    </w:p>
    <w:p>
      <w:pPr>
        <w:pStyle w:val="ListParagraph"/>
        <w:numPr>
          <w:ilvl w:val="0"/>
          <w:numId w:val="2"/>
        </w:numPr>
        <w:spacing w:after="40" w:before="40"/>
      </w:pPr>
      <w:r>
        <w:rPr>
          <w:rFonts w:ascii="Arial" w:cs="Arial" w:eastAsia="Arial" w:hAnsi="Arial"/>
          <w:sz w:val="22"/>
          <w:szCs w:val="22"/>
        </w:rPr>
        <w:t xml:space="preserve">Can be combined with daratumumab despite prior Dara exposure (different mechanism — T-cell redirecting)</w:t>
      </w:r>
    </w:p>
    <w:p>
      <w:pPr>
        <w:pStyle w:val="ListParagraph"/>
        <w:numPr>
          <w:ilvl w:val="0"/>
          <w:numId w:val="2"/>
        </w:numPr>
        <w:spacing w:after="40" w:before="40"/>
      </w:pPr>
      <w:r>
        <w:rPr>
          <w:rFonts w:ascii="Arial" w:cs="Arial" w:eastAsia="Arial" w:hAnsi="Arial"/>
          <w:sz w:val="22"/>
          <w:szCs w:val="22"/>
        </w:rPr>
        <w:t xml:space="preserve">FDA approved August 2023 for ≥4 prior lines; phase 3 trials moving toward earlier line approval</w:t>
      </w:r>
    </w:p>
    <w:p>
      <w:pPr>
        <w:pStyle w:val="Heading3"/>
        <w:spacing w:after="120" w:before="200"/>
      </w:pPr>
      <w:r>
        <w:rPr>
          <w:rFonts w:ascii="Arial" w:cs="Arial" w:eastAsia="Arial" w:hAnsi="Arial"/>
          <w:b/>
          <w:bCs/>
          <w:color w:val="404040"/>
          <w:sz w:val="26"/>
          <w:szCs w:val="26"/>
        </w:rPr>
        <w:t xml:space="preserve">Key Trial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580"/>
      </w:tblGrid>
      <w:tr>
        <w:trPr>
          <w:tblHeader/>
        </w:trP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TRIAL</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ORR</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 RATE</w:t>
            </w:r>
          </w:p>
        </w:tc>
        <w:tc>
          <w:tcPr>
            <w:tcW w:type="dxa" w:w="35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NOTES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MonumenTAL-1 (Phase 1/2)</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70%</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Lancet Haematology 2025. Pivotal data for FDA approval.</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Real-World (Blood Cancer J, 2025)</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73%</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26% sCR</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79% triple-class refractory, 65% had prior BCMA therapy — still responded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TRIMM-2 (Talq + Dara, Phase 1b)</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71–82%</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Not reported</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Median PFS 21–23 months. Daratumumab combination despite prior Dara exposure.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Bridge-to-CAR-T (PubMed 2025)</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71%</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Talquetamab used to control disease while awaiting CAR-T manufacturing</w:t>
            </w:r>
          </w:p>
        </w:tc>
      </w:tr>
    </w:tbl>
    <w:p>
      <w:pPr>
        <w:spacing w:after="0" w:before="40"/>
      </w:pPr>
      <w:r>
        <w:t xml:space="preserve"/>
      </w:r>
    </w:p>
    <w:p>
      <w:pPr>
        <w:pStyle w:val="Heading3"/>
        <w:spacing w:after="120" w:before="200"/>
      </w:pPr>
      <w:r>
        <w:rPr>
          <w:rFonts w:ascii="Arial" w:cs="Arial" w:eastAsia="Arial" w:hAnsi="Arial"/>
          <w:b/>
          <w:bCs/>
          <w:color w:val="404040"/>
          <w:sz w:val="26"/>
          <w:szCs w:val="26"/>
        </w:rPr>
        <w:t xml:space="preserve">Strategic Role for This Patient</w:t>
      </w:r>
    </w:p>
    <w:p>
      <w:pPr>
        <w:pStyle w:val="ListParagraph"/>
        <w:numPr>
          <w:ilvl w:val="0"/>
          <w:numId w:val="2"/>
        </w:numPr>
        <w:spacing w:after="40" w:before="40"/>
      </w:pPr>
      <w:r>
        <w:rPr>
          <w:rFonts w:ascii="Arial" w:cs="Arial" w:eastAsia="Arial" w:hAnsi="Arial"/>
          <w:sz w:val="22"/>
          <w:szCs w:val="22"/>
        </w:rPr>
        <w:t xml:space="preserve">BRIDGING THERAPY: If CAR-T is the goal and manufacturing/apheresis takes 4–8 weeks, talquetamab can be the bridge to control disease while waiting</w:t>
      </w:r>
    </w:p>
    <w:p>
      <w:pPr>
        <w:pStyle w:val="ListParagraph"/>
        <w:numPr>
          <w:ilvl w:val="0"/>
          <w:numId w:val="2"/>
        </w:numPr>
        <w:spacing w:after="40" w:before="40"/>
      </w:pPr>
      <w:r>
        <w:rPr>
          <w:rFonts w:ascii="Arial" w:cs="Arial" w:eastAsia="Arial" w:hAnsi="Arial"/>
          <w:sz w:val="22"/>
          <w:szCs w:val="22"/>
        </w:rPr>
        <w:t xml:space="preserve">SEQUENTIAL AFTER BCMA CAR-T: If CAR-T eventually loses efficacy, talquetamab provides a distinct non-BCMA rescue option</w:t>
      </w:r>
    </w:p>
    <w:p>
      <w:pPr>
        <w:pStyle w:val="ListParagraph"/>
        <w:numPr>
          <w:ilvl w:val="0"/>
          <w:numId w:val="2"/>
        </w:numPr>
        <w:spacing w:after="40" w:before="40"/>
      </w:pPr>
      <w:r>
        <w:rPr>
          <w:rFonts w:ascii="Arial" w:cs="Arial" w:eastAsia="Arial" w:hAnsi="Arial"/>
          <w:sz w:val="22"/>
          <w:szCs w:val="22"/>
        </w:rPr>
        <w:t xml:space="preserve">COMBINATION: Talquetamab + Teclistamab (RedirecTT-1 NEJM 2025) — dual antigen targeting showed 76% ORR in extramedullary/triple-class refractory MM</w:t>
      </w:r>
    </w:p>
    <w:p>
      <w:pPr>
        <w:spacing w:after="0" w:before="40"/>
      </w:pPr>
      <w:r>
        <w:t xml:space="preserve"/>
      </w:r>
    </w:p>
    <w:p>
      <w:pPr>
        <w:spacing w:after="80" w:before="60"/>
      </w:pPr>
      <w:r>
        <w:rPr>
          <w:rFonts w:ascii="Arial" w:cs="Arial" w:eastAsia="Arial" w:hAnsi="Arial"/>
          <w:sz w:val="22"/>
          <w:szCs w:val="22"/>
        </w:rPr>
        <w:t xml:space="preserve">Citation: MonumenTAL-1, Lancet Haematology, 2025. Talquetamab real-world study, Blood Cancer Journal, 2025 (PMC12594773). TRIMM-2, ScienceDirect 2025.</w:t>
      </w:r>
    </w:p>
    <w:p>
      <w:pPr>
        <w:pBdr>
          <w:bottom w:val="single" w:color="2E5FA3" w:sz="6"/>
        </w:pBdr>
        <w:spacing w:after="120" w:before="160"/>
      </w:pPr>
      <w:r>
        <w:t xml:space="preserve"/>
      </w:r>
    </w:p>
    <w:p>
      <w:pPr>
        <w:shd w:fill="6E2FA0" w:val="clear"/>
        <w:spacing w:after="0" w:before="200"/>
      </w:pPr>
      <w:r>
        <w:rPr>
          <w:rFonts w:ascii="Arial" w:cs="Arial" w:eastAsia="Arial" w:hAnsi="Arial"/>
          <w:b/>
          <w:bCs/>
          <w:color w:val="FFFFFF"/>
          <w:sz w:val="26"/>
          <w:szCs w:val="26"/>
        </w:rPr>
        <w:t xml:space="preserve">  PRIORITY 4  |  CELMoD Agent — Mezigdomide + Daratumumab + Dexamethasone  </w:t>
      </w:r>
    </w:p>
    <w:p>
      <w:pPr>
        <w:spacing w:after="0" w:before="60"/>
      </w:pPr>
      <w:r>
        <w:t xml:space="preserve"/>
      </w:r>
    </w:p>
    <w:p>
      <w:pPr>
        <w:pStyle w:val="Heading3"/>
        <w:spacing w:after="120" w:before="200"/>
      </w:pPr>
      <w:r>
        <w:rPr>
          <w:rFonts w:ascii="Arial" w:cs="Arial" w:eastAsia="Arial" w:hAnsi="Arial"/>
          <w:b/>
          <w:bCs/>
          <w:color w:val="404040"/>
          <w:sz w:val="26"/>
          <w:szCs w:val="26"/>
        </w:rPr>
        <w:t xml:space="preserve">Overview</w:t>
      </w:r>
    </w:p>
    <w:p>
      <w:pPr>
        <w:spacing w:after="80" w:before="60"/>
      </w:pPr>
      <w:r>
        <w:rPr>
          <w:rFonts w:ascii="Arial" w:cs="Arial" w:eastAsia="Arial" w:hAnsi="Arial"/>
          <w:sz w:val="22"/>
          <w:szCs w:val="22"/>
        </w:rPr>
        <w:t xml:space="preserve">Mezigdomide (CC-92480) is a next-generation Cereblon E3 Ligase Modulator (CELMoD). Unlike lenalidomide and pomalidomide, it is significantly more potent in degrading Ikaros and Aiolos (transcription factors critical for myeloma survival). Critically, it retains activity in lenalidomide-refractory and lenalidomide-intolerant patients — making it particularly relevant here.</w:t>
      </w:r>
    </w:p>
    <w:p>
      <w:pPr>
        <w:pStyle w:val="Heading3"/>
        <w:spacing w:after="120" w:before="200"/>
      </w:pPr>
      <w:r>
        <w:rPr>
          <w:rFonts w:ascii="Arial" w:cs="Arial" w:eastAsia="Arial" w:hAnsi="Arial"/>
          <w:b/>
          <w:bCs/>
          <w:color w:val="404040"/>
          <w:sz w:val="26"/>
          <w:szCs w:val="26"/>
        </w:rPr>
        <w:t xml:space="preserve">Why Relevant for This Patient</w:t>
      </w:r>
    </w:p>
    <w:p>
      <w:pPr>
        <w:pStyle w:val="ListParagraph"/>
        <w:numPr>
          <w:ilvl w:val="0"/>
          <w:numId w:val="2"/>
        </w:numPr>
        <w:spacing w:after="40" w:before="40"/>
      </w:pPr>
      <w:r>
        <w:rPr>
          <w:rFonts w:ascii="Arial" w:cs="Arial" w:eastAsia="Arial" w:hAnsi="Arial"/>
          <w:sz w:val="22"/>
          <w:szCs w:val="22"/>
        </w:rPr>
        <w:t xml:space="preserve">Patient is LENALIDOMIDE INTOLERANT (thrombocytopenia) — mezigdomide is a distinct class (not lenalidomide)</w:t>
      </w:r>
    </w:p>
    <w:p>
      <w:pPr>
        <w:pStyle w:val="ListParagraph"/>
        <w:numPr>
          <w:ilvl w:val="0"/>
          <w:numId w:val="2"/>
        </w:numPr>
        <w:spacing w:after="40" w:before="40"/>
      </w:pPr>
      <w:r>
        <w:rPr>
          <w:rFonts w:ascii="Arial" w:cs="Arial" w:eastAsia="Arial" w:hAnsi="Arial"/>
          <w:sz w:val="22"/>
          <w:szCs w:val="22"/>
        </w:rPr>
        <w:t xml:space="preserve">Active in Daratumumab-refractory setting when combined with daratumumab (different mechanism now)</w:t>
      </w:r>
    </w:p>
    <w:p>
      <w:pPr>
        <w:pStyle w:val="ListParagraph"/>
        <w:numPr>
          <w:ilvl w:val="0"/>
          <w:numId w:val="2"/>
        </w:numPr>
        <w:spacing w:after="40" w:before="40"/>
      </w:pPr>
      <w:r>
        <w:rPr>
          <w:rFonts w:ascii="Arial" w:cs="Arial" w:eastAsia="Arial" w:hAnsi="Arial"/>
          <w:sz w:val="22"/>
          <w:szCs w:val="22"/>
        </w:rPr>
        <w:t xml:space="preserve">CC-92480-MM-002 trial combination with daratumumab showed 89% ORR in one cohort</w:t>
      </w:r>
    </w:p>
    <w:p>
      <w:pPr>
        <w:pStyle w:val="ListParagraph"/>
        <w:numPr>
          <w:ilvl w:val="0"/>
          <w:numId w:val="2"/>
        </w:numPr>
        <w:spacing w:after="40" w:before="40"/>
      </w:pPr>
      <w:r>
        <w:rPr>
          <w:rFonts w:ascii="Arial" w:cs="Arial" w:eastAsia="Arial" w:hAnsi="Arial"/>
          <w:sz w:val="22"/>
          <w:szCs w:val="22"/>
        </w:rPr>
        <w:t xml:space="preserve">Oral agent — favorable for quality of life and outpatient management</w:t>
      </w:r>
    </w:p>
    <w:p>
      <w:pPr>
        <w:pStyle w:val="ListParagraph"/>
        <w:numPr>
          <w:ilvl w:val="0"/>
          <w:numId w:val="2"/>
        </w:numPr>
        <w:spacing w:after="40" w:before="40"/>
      </w:pPr>
      <w:r>
        <w:rPr>
          <w:rFonts w:ascii="Arial" w:cs="Arial" w:eastAsia="Arial" w:hAnsi="Arial"/>
          <w:sz w:val="22"/>
          <w:szCs w:val="22"/>
        </w:rPr>
        <w:t xml:space="preserve">Combination with bortezomib showed 75% ORR, though bortezomib-resistance possible given prior exposure</w:t>
      </w:r>
    </w:p>
    <w:p>
      <w:pPr>
        <w:pStyle w:val="Heading3"/>
        <w:spacing w:after="120" w:before="200"/>
      </w:pPr>
      <w:r>
        <w:rPr>
          <w:rFonts w:ascii="Arial" w:cs="Arial" w:eastAsia="Arial" w:hAnsi="Arial"/>
          <w:b/>
          <w:bCs/>
          <w:color w:val="404040"/>
          <w:sz w:val="26"/>
          <w:szCs w:val="26"/>
        </w:rPr>
        <w:t xml:space="preserve">Trial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COMBINATION (CC-92480-MM-002)</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ORR</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 DoR</w:t>
            </w:r>
          </w:p>
        </w:tc>
        <w:tc>
          <w:tcPr>
            <w:tcW w:type="dxa" w:w="3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NOTES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Mezigdomide + Daratumumab + Dexa</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89%</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Not reached</w:t>
            </w:r>
          </w:p>
        </w:tc>
        <w:tc>
          <w:tcPr>
            <w:tcW w:type="dxa" w:w="3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Impressive in Dara-refractory cohort; FDA approval pending/expected 2025–2026</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Mezigdomide + Bortezomib + Dexa</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75%</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10.9 months</w:t>
            </w:r>
          </w:p>
        </w:tc>
        <w:tc>
          <w:tcPr>
            <w:tcW w:type="dxa" w:w="30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EHA 2025 data. Note: patient is bortezomib-exposed; response may be lower.</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Mezigdomide + Dexa alone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 months</w:t>
            </w:r>
          </w:p>
        </w:tc>
        <w:tc>
          <w:tcPr>
            <w:tcW w:type="dxa" w:w="3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NEJM 2023 pivotal data. Basis of FDA approval application.</w:t>
            </w:r>
          </w:p>
        </w:tc>
      </w:tr>
    </w:tbl>
    <w:p>
      <w:pPr>
        <w:spacing w:after="0" w:before="40"/>
      </w:pPr>
      <w:r>
        <w:t xml:space="preserve"/>
      </w:r>
    </w:p>
    <w:p>
      <w:pPr>
        <w:pStyle w:val="Heading3"/>
        <w:spacing w:after="120" w:before="200"/>
      </w:pPr>
      <w:r>
        <w:rPr>
          <w:rFonts w:ascii="Arial" w:cs="Arial" w:eastAsia="Arial" w:hAnsi="Arial"/>
          <w:b/>
          <w:bCs/>
          <w:color w:val="404040"/>
          <w:sz w:val="26"/>
          <w:szCs w:val="26"/>
        </w:rPr>
        <w:t xml:space="preserve">Renal Dosing Note</w:t>
      </w:r>
    </w:p>
    <w:p>
      <w:pPr>
        <w:spacing w:after="80" w:before="60"/>
      </w:pPr>
      <w:r>
        <w:rPr>
          <w:rFonts w:ascii="Arial" w:cs="Arial" w:eastAsia="Arial" w:hAnsi="Arial"/>
          <w:sz w:val="22"/>
          <w:szCs w:val="22"/>
        </w:rPr>
        <w:t xml:space="preserve">Mezigdomide is primarily hepatically metabolized; limited renal dosing data. However, given it is an oral agent with hepatic clearance, CKD G3b (eGFR 39–43) is unlikely to require significant dose modification. Platelet counts should be monitored closely given prior Lenalidomide-associated thrombocytopenia.</w:t>
      </w:r>
    </w:p>
    <w:p>
      <w:pPr>
        <w:spacing w:after="0" w:before="40"/>
      </w:pPr>
      <w:r>
        <w:t xml:space="preserve"/>
      </w:r>
    </w:p>
    <w:p>
      <w:pPr>
        <w:spacing w:after="80" w:before="60"/>
      </w:pPr>
      <w:r>
        <w:rPr>
          <w:rFonts w:ascii="Arial" w:cs="Arial" w:eastAsia="Arial" w:hAnsi="Arial"/>
          <w:sz w:val="22"/>
          <w:szCs w:val="22"/>
        </w:rPr>
        <w:t xml:space="preserve">Citation: CC-92480-MM-002 trial, ScienceDirect / EHA 2025. Mezigdomide + Dexa, NEJM 2023 (DOI: 10.1056/NEJMoa2303194). PMC review: PMC10969776.</w:t>
      </w:r>
    </w:p>
    <w:p>
      <w:pPr>
        <w:pBdr>
          <w:bottom w:val="single" w:color="2E5FA3" w:sz="6"/>
        </w:pBdr>
        <w:spacing w:after="120" w:before="160"/>
      </w:pPr>
      <w:r>
        <w:t xml:space="preserve"/>
      </w:r>
    </w:p>
    <w:p>
      <w:pPr>
        <w:shd w:fill="7D3C01" w:val="clear"/>
        <w:spacing w:after="0" w:before="200"/>
      </w:pPr>
      <w:r>
        <w:rPr>
          <w:rFonts w:ascii="Arial" w:cs="Arial" w:eastAsia="Arial" w:hAnsi="Arial"/>
          <w:b/>
          <w:bCs/>
          <w:color w:val="FFFFFF"/>
          <w:sz w:val="26"/>
          <w:szCs w:val="26"/>
        </w:rPr>
        <w:t xml:space="preserve">  PRIORITY 5  |  Belantamab Mafodotin (Blenrep) — Re-approved ADC (BCMA-Targeted)  </w:t>
      </w:r>
    </w:p>
    <w:p>
      <w:pPr>
        <w:spacing w:after="0" w:before="60"/>
      </w:pPr>
      <w:r>
        <w:t xml:space="preserve"/>
      </w:r>
    </w:p>
    <w:p>
      <w:pPr>
        <w:pStyle w:val="Heading3"/>
        <w:spacing w:after="120" w:before="200"/>
      </w:pPr>
      <w:r>
        <w:rPr>
          <w:rFonts w:ascii="Arial" w:cs="Arial" w:eastAsia="Arial" w:hAnsi="Arial"/>
          <w:b/>
          <w:bCs/>
          <w:color w:val="404040"/>
          <w:sz w:val="26"/>
          <w:szCs w:val="26"/>
        </w:rPr>
        <w:t xml:space="preserve">Overview</w:t>
      </w:r>
    </w:p>
    <w:p>
      <w:pPr>
        <w:spacing w:after="80" w:before="60"/>
      </w:pPr>
      <w:r>
        <w:rPr>
          <w:rFonts w:ascii="Arial" w:cs="Arial" w:eastAsia="Arial" w:hAnsi="Arial"/>
          <w:sz w:val="22"/>
          <w:szCs w:val="22"/>
        </w:rPr>
        <w:t xml:space="preserve">Belantamab mafodotin (Blenrep, GSK) is an antibody-drug conjugate (ADC) targeting BCMA, delivering the microtubule toxin MMAF directly to myeloma cells. After initial FDA approval in 2020 and voluntary withdrawal in 2022, it received a new FDA approval on October 23, 2025 in combination with bortezomib + dexamethasone (BVd) based on the DREAMM-7 trial.</w:t>
      </w:r>
    </w:p>
    <w:p>
      <w:pPr>
        <w:pStyle w:val="Heading3"/>
        <w:spacing w:after="120" w:before="200"/>
      </w:pPr>
      <w:r>
        <w:rPr>
          <w:rFonts w:ascii="Arial" w:cs="Arial" w:eastAsia="Arial" w:hAnsi="Arial"/>
          <w:b/>
          <w:bCs/>
          <w:color w:val="404040"/>
          <w:sz w:val="26"/>
          <w:szCs w:val="26"/>
        </w:rPr>
        <w:t xml:space="preserve">Key DREAMM-7 Data (FDA Approval Oct 2025)</w:t>
      </w:r>
    </w:p>
    <w:p>
      <w:pPr>
        <w:shd w:fill="E2EFDA" w:val="clear"/>
        <w:spacing w:after="80" w:before="80"/>
      </w:pPr>
      <w:r>
        <w:rPr>
          <w:rFonts w:ascii="Arial" w:cs="Arial" w:eastAsia="Arial" w:hAnsi="Arial"/>
          <w:b/>
          <w:bCs/>
          <w:color w:val="375623"/>
          <w:sz w:val="22"/>
          <w:szCs w:val="22"/>
        </w:rPr>
        <w:t xml:space="preserve">  DREAMM-7: </w:t>
      </w:r>
      <w:r>
        <w:rPr>
          <w:rFonts w:ascii="Arial" w:cs="Arial" w:eastAsia="Arial" w:hAnsi="Arial"/>
          <w:sz w:val="22"/>
          <w:szCs w:val="22"/>
        </w:rPr>
        <w:t xml:space="preserve">BVd (Belantamab + Bortezomib + Dexamethasone) vs DVd (Daratumumab + Bortezomib + Dexa). Median PFS: 31.3 months vs 10.4 months (HR 0.36). Median OS: Not reached vs 35.7 months. Approved for ≥2 prior lines including a PI and IMiD.  </w:t>
      </w:r>
    </w:p>
    <w:p>
      <w:pPr>
        <w:spacing w:after="0" w:before="40"/>
      </w:pPr>
      <w:r>
        <w:t xml:space="preserve"/>
      </w:r>
    </w:p>
    <w:p>
      <w:pPr>
        <w:pStyle w:val="Heading3"/>
        <w:spacing w:after="120" w:before="200"/>
      </w:pPr>
      <w:r>
        <w:rPr>
          <w:rFonts w:ascii="Arial" w:cs="Arial" w:eastAsia="Arial" w:hAnsi="Arial"/>
          <w:b/>
          <w:bCs/>
          <w:color w:val="404040"/>
          <w:sz w:val="26"/>
          <w:szCs w:val="26"/>
        </w:rPr>
        <w:t xml:space="preserve">Considerations for This Patient</w:t>
      </w:r>
    </w:p>
    <w:p>
      <w:pPr>
        <w:pStyle w:val="ListParagraph"/>
        <w:numPr>
          <w:ilvl w:val="0"/>
          <w:numId w:val="2"/>
        </w:numPr>
        <w:spacing w:after="40" w:before="40"/>
      </w:pPr>
      <w:r>
        <w:rPr>
          <w:rFonts w:ascii="Arial" w:cs="Arial" w:eastAsia="Arial" w:hAnsi="Arial"/>
          <w:sz w:val="22"/>
          <w:szCs w:val="22"/>
        </w:rPr>
        <w:t xml:space="preserve">Patient is BCMA-naive — ideal candidate for belantamab; however, if CAR-T or bispecific BCMA is used first, belantamab may lose efficacy (BCMA downregulation possible)</w:t>
      </w:r>
    </w:p>
    <w:p>
      <w:pPr>
        <w:pStyle w:val="ListParagraph"/>
        <w:numPr>
          <w:ilvl w:val="0"/>
          <w:numId w:val="2"/>
        </w:numPr>
        <w:spacing w:after="40" w:before="40"/>
      </w:pPr>
      <w:r>
        <w:rPr>
          <w:rFonts w:ascii="Arial" w:cs="Arial" w:eastAsia="Arial" w:hAnsi="Arial"/>
          <w:sz w:val="22"/>
          <w:szCs w:val="22"/>
        </w:rPr>
        <w:t xml:space="preserve">Bortezomib component: patient is bortezomib-exposed from induction + maintenance; resistance possible — this limits the BVd combination</w:t>
      </w:r>
    </w:p>
    <w:p>
      <w:pPr>
        <w:pStyle w:val="ListParagraph"/>
        <w:numPr>
          <w:ilvl w:val="0"/>
          <w:numId w:val="2"/>
        </w:numPr>
        <w:spacing w:after="40" w:before="40"/>
      </w:pPr>
      <w:r>
        <w:rPr>
          <w:rFonts w:ascii="Arial" w:cs="Arial" w:eastAsia="Arial" w:hAnsi="Arial"/>
          <w:sz w:val="22"/>
          <w:szCs w:val="22"/>
        </w:rPr>
        <w:t xml:space="preserve">DREAMM-8 (Belantamab + Pomalidomide + Dexa / BPd): ORR 77% vs 51% for pomalidomide + Bortezomib + Dexa in ≥1 prior line. This combination may be more appropriate here — pomalidomide instead of bortezomib for bortezomib-exposed patients</w:t>
      </w:r>
    </w:p>
    <w:p>
      <w:pPr>
        <w:pStyle w:val="ListParagraph"/>
        <w:numPr>
          <w:ilvl w:val="0"/>
          <w:numId w:val="2"/>
        </w:numPr>
        <w:spacing w:after="40" w:before="40"/>
      </w:pPr>
      <w:r>
        <w:rPr>
          <w:rFonts w:ascii="Arial" w:cs="Arial" w:eastAsia="Arial" w:hAnsi="Arial"/>
          <w:sz w:val="22"/>
          <w:szCs w:val="22"/>
        </w:rPr>
        <w:t xml:space="preserve">Ocular toxicity (keratopathy): requires mandatory ophthalmology monitoring every 3–4 weeks. Asthma may predispose to ocular complications — careful monitoring needed</w:t>
      </w:r>
    </w:p>
    <w:p>
      <w:pPr>
        <w:pStyle w:val="ListParagraph"/>
        <w:numPr>
          <w:ilvl w:val="0"/>
          <w:numId w:val="2"/>
        </w:numPr>
        <w:spacing w:after="40" w:before="40"/>
      </w:pPr>
      <w:r>
        <w:rPr>
          <w:rFonts w:ascii="Arial" w:cs="Arial" w:eastAsia="Arial" w:hAnsi="Arial"/>
          <w:sz w:val="22"/>
          <w:szCs w:val="22"/>
        </w:rPr>
        <w:t xml:space="preserve">BCMA conservation strategy: if CAR-T is planned, it is generally preferable NOT to use belantamab first (BCMA modulation/downregulation can impair CAR-T efficacy)</w:t>
      </w:r>
    </w:p>
    <w:p>
      <w:pPr>
        <w:spacing w:after="0" w:before="40"/>
      </w:pPr>
      <w:r>
        <w:t xml:space="preserve"/>
      </w:r>
    </w:p>
    <w:p>
      <w:pPr>
        <w:spacing w:after="80" w:before="60"/>
      </w:pPr>
      <w:r>
        <w:rPr>
          <w:rFonts w:ascii="Arial" w:cs="Arial" w:eastAsia="Arial" w:hAnsi="Arial"/>
          <w:sz w:val="22"/>
          <w:szCs w:val="22"/>
        </w:rPr>
        <w:t xml:space="preserve">Citation: DREAMM-7 trial, FDA approval notice Oct 23, 2025. OncLive, ASCO Post, CancerNetwork 2025.</w:t>
      </w:r>
    </w:p>
    <w:p>
      <w:pPr>
        <w:pBdr>
          <w:bottom w:val="single" w:color="2E5FA3" w:sz="6"/>
        </w:pBdr>
        <w:spacing w:after="120" w:before="160"/>
      </w:pPr>
      <w:r>
        <w:t xml:space="preserve"/>
      </w:r>
    </w:p>
    <w:p>
      <w:pPr>
        <w:shd w:fill="1B4F72" w:val="clear"/>
        <w:spacing w:after="0" w:before="200"/>
      </w:pPr>
      <w:r>
        <w:rPr>
          <w:rFonts w:ascii="Arial" w:cs="Arial" w:eastAsia="Arial" w:hAnsi="Arial"/>
          <w:b/>
          <w:bCs/>
          <w:color w:val="FFFFFF"/>
          <w:sz w:val="26"/>
          <w:szCs w:val="26"/>
        </w:rPr>
        <w:t xml:space="preserve">  PRIORITY 6  |  Selinexor + Pomalidomide + Dexamethasone (SPd) — Oral Regimen  </w:t>
      </w:r>
    </w:p>
    <w:p>
      <w:pPr>
        <w:spacing w:after="0" w:before="60"/>
      </w:pPr>
      <w:r>
        <w:t xml:space="preserve"/>
      </w:r>
    </w:p>
    <w:p>
      <w:pPr>
        <w:pStyle w:val="Heading3"/>
        <w:spacing w:after="120" w:before="200"/>
      </w:pPr>
      <w:r>
        <w:rPr>
          <w:rFonts w:ascii="Arial" w:cs="Arial" w:eastAsia="Arial" w:hAnsi="Arial"/>
          <w:b/>
          <w:bCs/>
          <w:color w:val="404040"/>
          <w:sz w:val="26"/>
          <w:szCs w:val="26"/>
        </w:rPr>
        <w:t xml:space="preserve">Overview</w:t>
      </w:r>
    </w:p>
    <w:p>
      <w:pPr>
        <w:spacing w:after="80" w:before="60"/>
      </w:pPr>
      <w:r>
        <w:rPr>
          <w:rFonts w:ascii="Arial" w:cs="Arial" w:eastAsia="Arial" w:hAnsi="Arial"/>
          <w:sz w:val="22"/>
          <w:szCs w:val="22"/>
        </w:rPr>
        <w:t xml:space="preserve">Selinexor (Xpovio, Karyopharm) is a first-in-class XPO1 (Exportin-1) inhibitor that blocks nuclear export of tumor suppressor proteins, forcing myeloma cells into apoptosis. Combined with pomalidomide + dexamethasone (SPd), it is an all-oral, fully outpatient regimen relevant for patients with prior PI and IMiD exposure.</w:t>
      </w:r>
    </w:p>
    <w:p>
      <w:pPr>
        <w:pStyle w:val="Heading3"/>
        <w:spacing w:after="120" w:before="200"/>
      </w:pPr>
      <w:r>
        <w:rPr>
          <w:rFonts w:ascii="Arial" w:cs="Arial" w:eastAsia="Arial" w:hAnsi="Arial"/>
          <w:b/>
          <w:bCs/>
          <w:color w:val="404040"/>
          <w:sz w:val="26"/>
          <w:szCs w:val="26"/>
        </w:rPr>
        <w:t xml:space="preserve">Special Relevance: 1q21+ Cytogenetics</w:t>
      </w:r>
    </w:p>
    <w:p>
      <w:pPr>
        <w:shd w:fill="FFF2CC" w:val="clear"/>
        <w:spacing w:after="80" w:before="80"/>
      </w:pPr>
      <w:r>
        <w:rPr>
          <w:rFonts w:ascii="Arial" w:cs="Arial" w:eastAsia="Arial" w:hAnsi="Arial"/>
          <w:b/>
          <w:bCs/>
          <w:color w:val="C55A11"/>
          <w:sz w:val="22"/>
          <w:szCs w:val="22"/>
        </w:rPr>
        <w:t xml:space="preserve">  1q21 NOTE: </w:t>
      </w:r>
      <w:r>
        <w:rPr>
          <w:rFonts w:ascii="Arial" w:cs="Arial" w:eastAsia="Arial" w:hAnsi="Arial"/>
          <w:sz w:val="22"/>
          <w:szCs w:val="22"/>
        </w:rPr>
        <w:t xml:space="preserve">The BOSTON trial (selinexor + bortezomib + dexamethasone) demonstrated specifically improved PFS for patients with +1q21 cytogenetics compared to standard bortezomib-based therapy. This cytogenetic subgroup analysis is one of few showing targeted benefit for 1q21+ patients. While the BOSTON combination may not be ideal here (bortezomib-refractory concern), the selinexor component is likely contributing the 1q21 benefit.  </w:t>
      </w:r>
    </w:p>
    <w:p>
      <w:pPr>
        <w:spacing w:after="0" w:before="40"/>
      </w:pPr>
      <w:r>
        <w:t xml:space="preserve"/>
      </w:r>
    </w:p>
    <w:p>
      <w:pPr>
        <w:pStyle w:val="Heading3"/>
        <w:spacing w:after="120" w:before="200"/>
      </w:pPr>
      <w:r>
        <w:rPr>
          <w:rFonts w:ascii="Arial" w:cs="Arial" w:eastAsia="Arial" w:hAnsi="Arial"/>
          <w:b/>
          <w:bCs/>
          <w:color w:val="404040"/>
          <w:sz w:val="26"/>
          <w:szCs w:val="26"/>
        </w:rPr>
        <w:t xml:space="preserve">CKD G3b Dosing — Safe</w:t>
      </w:r>
    </w:p>
    <w:p>
      <w:pPr>
        <w:spacing w:after="80" w:before="60"/>
      </w:pPr>
      <w:r>
        <w:rPr>
          <w:rFonts w:ascii="Arial" w:cs="Arial" w:eastAsia="Arial" w:hAnsi="Arial"/>
          <w:sz w:val="22"/>
          <w:szCs w:val="22"/>
        </w:rPr>
        <w:t xml:space="preserve">A 2025 study (PubMed 40496494) evaluated selinexor 60mg vs 40mg with pomalidomide + dexamethasone and showed comparable efficacy with fewer side effects at 40mg. Selinexor at 40mg on days 1, 8, 15 of a 28-day cycle is used in renal impairment protocols. Pomalidomide (4mg/day, days 1–21) requires NO dose adjustment for renal impairment per published data, including patients with eGFR 30–44 mL/min.</w:t>
      </w:r>
    </w:p>
    <w:p>
      <w:pPr>
        <w:pStyle w:val="Heading3"/>
        <w:spacing w:after="120" w:before="200"/>
      </w:pPr>
      <w:r>
        <w:rPr>
          <w:rFonts w:ascii="Arial" w:cs="Arial" w:eastAsia="Arial" w:hAnsi="Arial"/>
          <w:b/>
          <w:bCs/>
          <w:color w:val="404040"/>
          <w:sz w:val="26"/>
          <w:szCs w:val="26"/>
        </w:rPr>
        <w:t xml:space="preserve">Practical Advantages</w:t>
      </w:r>
    </w:p>
    <w:p>
      <w:pPr>
        <w:pStyle w:val="ListParagraph"/>
        <w:numPr>
          <w:ilvl w:val="0"/>
          <w:numId w:val="2"/>
        </w:numPr>
        <w:spacing w:after="40" w:before="40"/>
      </w:pPr>
      <w:r>
        <w:rPr>
          <w:rFonts w:ascii="Arial" w:cs="Arial" w:eastAsia="Arial" w:hAnsi="Arial"/>
          <w:sz w:val="22"/>
          <w:szCs w:val="22"/>
        </w:rPr>
        <w:t xml:space="preserve">Fully oral regimen — can be administered entirely at home with monitoring visits</w:t>
      </w:r>
    </w:p>
    <w:p>
      <w:pPr>
        <w:pStyle w:val="ListParagraph"/>
        <w:numPr>
          <w:ilvl w:val="0"/>
          <w:numId w:val="2"/>
        </w:numPr>
        <w:spacing w:after="40" w:before="40"/>
      </w:pPr>
      <w:r>
        <w:rPr>
          <w:rFonts w:ascii="Arial" w:cs="Arial" w:eastAsia="Arial" w:hAnsi="Arial"/>
          <w:sz w:val="22"/>
          <w:szCs w:val="22"/>
        </w:rPr>
        <w:t xml:space="preserve">No infusion reactions or infusion center requirements</w:t>
      </w:r>
    </w:p>
    <w:p>
      <w:pPr>
        <w:pStyle w:val="ListParagraph"/>
        <w:numPr>
          <w:ilvl w:val="0"/>
          <w:numId w:val="2"/>
        </w:numPr>
        <w:spacing w:after="40" w:before="40"/>
      </w:pPr>
      <w:r>
        <w:rPr>
          <w:rFonts w:ascii="Arial" w:cs="Arial" w:eastAsia="Arial" w:hAnsi="Arial"/>
          <w:sz w:val="22"/>
          <w:szCs w:val="22"/>
        </w:rPr>
        <w:t xml:space="preserve">Pomalidomide does not require dose reduction for CKD G3b</w:t>
      </w:r>
    </w:p>
    <w:p>
      <w:pPr>
        <w:pStyle w:val="ListParagraph"/>
        <w:numPr>
          <w:ilvl w:val="0"/>
          <w:numId w:val="2"/>
        </w:numPr>
        <w:spacing w:after="40" w:before="40"/>
      </w:pPr>
      <w:r>
        <w:rPr>
          <w:rFonts w:ascii="Arial" w:cs="Arial" w:eastAsia="Arial" w:hAnsi="Arial"/>
          <w:sz w:val="22"/>
          <w:szCs w:val="22"/>
        </w:rPr>
        <w:t xml:space="preserve">Selinexor 40mg QW (reduced dose) maintains efficacy with better tolerability in elderly patients</w:t>
      </w:r>
    </w:p>
    <w:p>
      <w:pPr>
        <w:pStyle w:val="ListParagraph"/>
        <w:numPr>
          <w:ilvl w:val="0"/>
          <w:numId w:val="2"/>
        </w:numPr>
        <w:spacing w:after="40" w:before="40"/>
      </w:pPr>
      <w:r>
        <w:rPr>
          <w:rFonts w:ascii="Arial" w:cs="Arial" w:eastAsia="Arial" w:hAnsi="Arial"/>
          <w:sz w:val="22"/>
          <w:szCs w:val="22"/>
        </w:rPr>
        <w:t xml:space="preserve">Can be used for disease bridging or as a later line after bispecific/CAR-T failure</w:t>
      </w:r>
    </w:p>
    <w:p>
      <w:pPr>
        <w:spacing w:after="0" w:before="40"/>
      </w:pPr>
      <w:r>
        <w:t xml:space="preserve"/>
      </w:r>
    </w:p>
    <w:p>
      <w:pPr>
        <w:spacing w:after="80" w:before="60"/>
      </w:pPr>
      <w:r>
        <w:rPr>
          <w:rFonts w:ascii="Arial" w:cs="Arial" w:eastAsia="Arial" w:hAnsi="Arial"/>
          <w:sz w:val="22"/>
          <w:szCs w:val="22"/>
        </w:rPr>
        <w:t xml:space="preserve">Citation: Selinexor 40mg vs 60mg with pomalidomide. PubMed 2025 (PMID 40496494). BOSTON trial selinexor 1q21 benefit: Blood Cancer Journal. Pomalidomide in renal impairment: OncLive, IMWG Recommendations, Lancet Oncology 2023.</w:t>
      </w:r>
    </w:p>
    <w:p>
      <w:pPr>
        <w:pBdr>
          <w:bottom w:val="single" w:color="2E5FA3" w:sz="6"/>
        </w:pBdr>
        <w:spacing w:after="120" w:before="160"/>
      </w:pPr>
      <w:r>
        <w:t xml:space="preserve"/>
      </w:r>
    </w:p>
    <w:p>
      <w:pPr>
        <w:shd w:fill="4A235A" w:val="clear"/>
        <w:spacing w:after="0" w:before="200"/>
      </w:pPr>
      <w:r>
        <w:rPr>
          <w:rFonts w:ascii="Arial" w:cs="Arial" w:eastAsia="Arial" w:hAnsi="Arial"/>
          <w:b/>
          <w:bCs/>
          <w:color w:val="FFFFFF"/>
          <w:sz w:val="26"/>
          <w:szCs w:val="26"/>
        </w:rPr>
        <w:t xml:space="preserve">  PRIORITY 7  |  Carfilzomib-Based Salvage (KPd or KdD) — with Caution  </w:t>
      </w:r>
    </w:p>
    <w:p>
      <w:pPr>
        <w:spacing w:after="0" w:before="60"/>
      </w:pPr>
      <w:r>
        <w:t xml:space="preserve"/>
      </w:r>
    </w:p>
    <w:p>
      <w:pPr>
        <w:pStyle w:val="Heading3"/>
        <w:spacing w:after="120" w:before="200"/>
      </w:pPr>
      <w:r>
        <w:rPr>
          <w:rFonts w:ascii="Arial" w:cs="Arial" w:eastAsia="Arial" w:hAnsi="Arial"/>
          <w:b/>
          <w:bCs/>
          <w:color w:val="404040"/>
          <w:sz w:val="26"/>
          <w:szCs w:val="26"/>
        </w:rPr>
        <w:t xml:space="preserve">Overview</w:t>
      </w:r>
    </w:p>
    <w:p>
      <w:pPr>
        <w:spacing w:after="80" w:before="60"/>
      </w:pPr>
      <w:r>
        <w:rPr>
          <w:rFonts w:ascii="Arial" w:cs="Arial" w:eastAsia="Arial" w:hAnsi="Arial"/>
          <w:sz w:val="22"/>
          <w:szCs w:val="22"/>
        </w:rPr>
        <w:t xml:space="preserve">Carfilzomib (Kyprolis) is a next-generation, irreversible proteasome inhibitor (PI) with higher selectivity than bortezomib. In patients who have relapsed on bortezomib, carfilzomib retains activity (different binding characteristics). It can be combined with pomalidomide + dexamethasone (KPd) or with daratumumab (KdD, CANDOR trial).</w:t>
      </w:r>
    </w:p>
    <w:p>
      <w:pPr>
        <w:pStyle w:val="Heading3"/>
        <w:spacing w:after="120" w:before="200"/>
      </w:pPr>
      <w:r>
        <w:rPr>
          <w:rFonts w:ascii="Arial" w:cs="Arial" w:eastAsia="Arial" w:hAnsi="Arial"/>
          <w:b/>
          <w:bCs/>
          <w:color w:val="404040"/>
          <w:sz w:val="26"/>
          <w:szCs w:val="26"/>
        </w:rPr>
        <w:t xml:space="preserve">Renal Pharmacology — Key Advantage</w:t>
      </w:r>
    </w:p>
    <w:p>
      <w:pPr>
        <w:shd w:fill="E2EFDA" w:val="clear"/>
        <w:spacing w:after="80" w:before="80"/>
      </w:pPr>
      <w:r>
        <w:rPr>
          <w:rFonts w:ascii="Arial" w:cs="Arial" w:eastAsia="Arial" w:hAnsi="Arial"/>
          <w:b/>
          <w:bCs/>
          <w:color w:val="375623"/>
          <w:sz w:val="22"/>
          <w:szCs w:val="22"/>
        </w:rPr>
        <w:t xml:space="preserve">  RENAL NOTE: </w:t>
      </w:r>
      <w:r>
        <w:rPr>
          <w:rFonts w:ascii="Arial" w:cs="Arial" w:eastAsia="Arial" w:hAnsi="Arial"/>
          <w:sz w:val="22"/>
          <w:szCs w:val="22"/>
        </w:rPr>
        <w:t xml:space="preserve">Carfilzomib's pharmacokinetics are NOT significantly affected by renal impairment — less than 1% of the administered dose is recovered in urine. Multiple PK studies confirm no dose adjustment is required for CKD, including dialysis patients. This makes it one of the few proteasome inhibitors that can be used at full doses despite CKD G3b.  </w:t>
      </w:r>
    </w:p>
    <w:p>
      <w:pPr>
        <w:spacing w:after="0" w:before="40"/>
      </w:pPr>
      <w:r>
        <w:t xml:space="preserve"/>
      </w:r>
    </w:p>
    <w:p>
      <w:pPr>
        <w:pStyle w:val="Heading3"/>
        <w:spacing w:after="120" w:before="200"/>
      </w:pPr>
      <w:r>
        <w:rPr>
          <w:rFonts w:ascii="Arial" w:cs="Arial" w:eastAsia="Arial" w:hAnsi="Arial"/>
          <w:b/>
          <w:bCs/>
          <w:color w:val="404040"/>
          <w:sz w:val="26"/>
          <w:szCs w:val="26"/>
        </w:rPr>
        <w:t xml:space="preserve">Caution Flags for This Patient</w:t>
      </w:r>
    </w:p>
    <w:p>
      <w:pPr>
        <w:shd w:fill="FCE4D6" w:val="clear"/>
        <w:spacing w:after="80" w:before="80"/>
      </w:pPr>
      <w:r>
        <w:rPr>
          <w:rFonts w:ascii="Arial" w:cs="Arial" w:eastAsia="Arial" w:hAnsi="Arial"/>
          <w:b/>
          <w:bCs/>
          <w:color w:val="C00000"/>
          <w:sz w:val="22"/>
          <w:szCs w:val="22"/>
        </w:rPr>
        <w:t xml:space="preserve">  ⚠️ CARFILZOMIB RISKS IN CKD: </w:t>
      </w:r>
      <w:r>
        <w:rPr>
          <w:rFonts w:ascii="Arial" w:cs="Arial" w:eastAsia="Arial" w:hAnsi="Arial"/>
          <w:color w:val="C00000"/>
          <w:sz w:val="22"/>
          <w:szCs w:val="22"/>
        </w:rPr>
        <w:t xml:space="preserve">Despite favorable PK, carfilzomib can cause renal complications including thrombotic microangiopathy (TMA, 5% incidence), albuminuria &gt;1g/day (6%), and acute kidney injury (5%). In a patient with existing CKD G3b (eGFR 39–43), these risks must be carefully weighed. If used, weekly monitoring of creatinine, urinalysis for protein, and CBC is mandatory. Cardiovascular monitoring also critical (carfilzomib is associated with fluid retention and hypertension — relevant given pre-existing HTN).  </w:t>
      </w:r>
    </w:p>
    <w:p>
      <w:pPr>
        <w:spacing w:after="0" w:before="40"/>
      </w:pPr>
      <w:r>
        <w:t xml:space="preserve"/>
      </w:r>
    </w:p>
    <w:p>
      <w:pPr>
        <w:spacing w:after="80" w:before="60"/>
      </w:pPr>
      <w:r>
        <w:rPr>
          <w:rFonts w:ascii="Arial" w:cs="Arial" w:eastAsia="Arial" w:hAnsi="Arial"/>
          <w:sz w:val="22"/>
          <w:szCs w:val="22"/>
        </w:rPr>
        <w:t>Updated caution: because the newly reviewed kidney biopsy described post-carfilzomib TMA after the 2024 carfilzomib-containing regimen, additional carfilzomib should generally be avoided unless a myeloma specialist, nephrologist, and cardiologist explicitly conclude that benefits outweigh the renal/TMA risk.</w:t>
      </w:r>
    </w:p>
    <w:p>
      <w:pPr>
        <w:spacing w:after="80" w:before="60"/>
      </w:pPr>
      <w:r>
        <w:rPr>
          <w:rFonts w:ascii="Arial" w:cs="Arial" w:eastAsia="Arial" w:hAnsi="Arial"/>
          <w:sz w:val="22"/>
          <w:szCs w:val="22"/>
        </w:rPr>
        <w:t xml:space="preserve">Citation: Carfilzomib PK in renal impairment — PMC3740399. CANDOR trial renal subgroup — ScienceDirect 2024. Carfilzomib real-world analysis — Blood Cancer Journal 2025.</w:t>
      </w:r>
    </w:p>
    <w:p>
      <w:pPr>
        <w:pBdr>
          <w:bottom w:val="single" w:color="2E5FA3" w:sz="6"/>
        </w:pBdr>
        <w:spacing w:after="120" w:before="160"/>
      </w:pPr>
      <w:r>
        <w:t xml:space="preserve"/>
      </w:r>
    </w:p>
    <w:p>
      <w:r>
        <w:br w:type="page"/>
      </w:r>
    </w:p>
    <w:p>
      <w:pPr>
        <w:pStyle w:val="Heading1"/>
        <w:spacing w:after="120" w:before="320"/>
      </w:pPr>
      <w:r>
        <w:rPr>
          <w:rFonts w:ascii="Arial" w:cs="Arial" w:eastAsia="Arial" w:hAnsi="Arial"/>
          <w:b/>
          <w:bCs/>
          <w:color w:val="1F3864"/>
          <w:sz w:val="40"/>
          <w:szCs w:val="40"/>
        </w:rPr>
        <w:t xml:space="preserve">SECTION 5: EMERGING &amp; INVESTIGATIONAL THERAPIES</w:t>
      </w:r>
    </w:p>
    <w:p>
      <w:pPr>
        <w:pStyle w:val="Heading2"/>
        <w:spacing w:after="120" w:before="320"/>
      </w:pPr>
      <w:r>
        <w:rPr>
          <w:rFonts w:ascii="Arial" w:cs="Arial" w:eastAsia="Arial" w:hAnsi="Arial"/>
          <w:b/>
          <w:bCs/>
          <w:color w:val="2E5FA3"/>
          <w:sz w:val="32"/>
          <w:szCs w:val="32"/>
        </w:rPr>
        <w:t xml:space="preserve">5.1 In Vivo CAR-T Cell Therapy (ESO-T01 / BMS-986393)</w:t>
      </w:r>
    </w:p>
    <w:p>
      <w:pPr>
        <w:spacing w:after="80" w:before="60"/>
      </w:pPr>
      <w:r>
        <w:rPr>
          <w:rFonts w:ascii="Arial" w:cs="Arial" w:eastAsia="Arial" w:hAnsi="Arial"/>
          <w:sz w:val="22"/>
          <w:szCs w:val="22"/>
        </w:rPr>
        <w:t xml:space="preserve">The world's first in vivo CAR-T cell therapy was published in The Lancet (June 2025) — ESO-T01, a lentiviral vector that generates BCMA-targeting CAR-T cells directly in the patient's body, without apheresis, without lymphodepletion, and without ex vivo manufacturing. In 4 patients published in the Lancet:</w:t>
      </w:r>
    </w:p>
    <w:p>
      <w:pPr>
        <w:pStyle w:val="ListParagraph"/>
        <w:numPr>
          <w:ilvl w:val="0"/>
          <w:numId w:val="2"/>
        </w:numPr>
        <w:spacing w:after="40" w:before="40"/>
      </w:pPr>
      <w:r>
        <w:rPr>
          <w:rFonts w:ascii="Arial" w:cs="Arial" w:eastAsia="Arial" w:hAnsi="Arial"/>
          <w:sz w:val="22"/>
          <w:szCs w:val="22"/>
        </w:rPr>
        <w:t xml:space="preserve">Patients 1 and 2 achieved stringent Complete Response with MRD negativity by Day 28</w:t>
      </w:r>
    </w:p>
    <w:p>
      <w:pPr>
        <w:pStyle w:val="ListParagraph"/>
        <w:numPr>
          <w:ilvl w:val="0"/>
          <w:numId w:val="2"/>
        </w:numPr>
        <w:spacing w:after="40" w:before="40"/>
      </w:pPr>
      <w:r>
        <w:rPr>
          <w:rFonts w:ascii="Arial" w:cs="Arial" w:eastAsia="Arial" w:hAnsi="Arial"/>
          <w:sz w:val="22"/>
          <w:szCs w:val="22"/>
        </w:rPr>
        <w:t xml:space="preserve">Patients 3 and 4 achieved partial responses with MRD negativity in bone marrow</w:t>
      </w:r>
    </w:p>
    <w:p>
      <w:pPr>
        <w:pStyle w:val="ListParagraph"/>
        <w:numPr>
          <w:ilvl w:val="0"/>
          <w:numId w:val="2"/>
        </w:numPr>
        <w:spacing w:after="40" w:before="40"/>
      </w:pPr>
      <w:r>
        <w:rPr>
          <w:rFonts w:ascii="Arial" w:cs="Arial" w:eastAsia="Arial" w:hAnsi="Arial"/>
          <w:sz w:val="22"/>
          <w:szCs w:val="22"/>
        </w:rPr>
        <w:t xml:space="preserve">No serious adverse events reported in this early cohort</w:t>
      </w:r>
    </w:p>
    <w:p>
      <w:pPr>
        <w:spacing w:after="80" w:before="60"/>
      </w:pPr>
      <w:r>
        <w:rPr>
          <w:rFonts w:ascii="Arial" w:cs="Arial" w:eastAsia="Arial" w:hAnsi="Arial"/>
          <w:sz w:val="22"/>
          <w:szCs w:val="22"/>
        </w:rPr>
        <w:t xml:space="preserve">BMS-986393 is a GPRC5D-targeted in vivo CAR-T (Phase 1, Nature Medicine 2026): 33 patients, 90% ORR, ≥CR in 47%. A single IV infusion without lymphodepletion or apheresis. At ASH 2025, 4 MRD-negative patients from this trial generated significant excitement.</w:t>
      </w:r>
    </w:p>
    <w:p>
      <w:pPr>
        <w:spacing w:after="80" w:before="60"/>
      </w:pPr>
      <w:r>
        <w:rPr>
          <w:rFonts w:ascii="Arial" w:cs="Arial" w:eastAsia="Arial" w:hAnsi="Arial"/>
          <w:sz w:val="22"/>
          <w:szCs w:val="22"/>
        </w:rPr>
        <w:t xml:space="preserve">This approach is TRANSFORMATIVE for elderly patients who may not tolerate lymphodepletion — directly relevant if CKD worsens or performance status declines. Not yet clinically available, but patients may be eligible for Phase 1 expansion cohorts, including potentially through Indian collaborations.</w:t>
      </w:r>
    </w:p>
    <w:p>
      <w:pPr>
        <w:spacing w:after="80" w:before="60"/>
      </w:pPr>
      <w:r>
        <w:rPr>
          <w:rFonts w:ascii="Arial" w:cs="Arial" w:eastAsia="Arial" w:hAnsi="Arial"/>
          <w:sz w:val="22"/>
          <w:szCs w:val="22"/>
        </w:rPr>
        <w:t xml:space="preserve">Citation: In-vivo B-cell maturation antigen CAR T-cell therapy, The Lancet 2025 (PIIS0140-6736(25)01030-X). BMS-986393 Phase 1, Nature Medicine 2026 (PMC PMID 41882404).</w:t>
      </w:r>
    </w:p>
    <w:p>
      <w:pPr>
        <w:spacing w:after="0" w:before="80"/>
      </w:pPr>
      <w:r>
        <w:t xml:space="preserve"/>
      </w:r>
    </w:p>
    <w:p>
      <w:pPr>
        <w:pStyle w:val="Heading2"/>
        <w:spacing w:after="120" w:before="320"/>
      </w:pPr>
      <w:r>
        <w:rPr>
          <w:rFonts w:ascii="Arial" w:cs="Arial" w:eastAsia="Arial" w:hAnsi="Arial"/>
          <w:b/>
          <w:bCs/>
          <w:color w:val="2E5FA3"/>
          <w:sz w:val="32"/>
          <w:szCs w:val="32"/>
        </w:rPr>
        <w:t xml:space="preserve">5.2 Anitocabtagene Autoleucel (Anito-Cel)</w:t>
      </w:r>
    </w:p>
    <w:p>
      <w:pPr>
        <w:spacing w:after="80" w:before="60"/>
      </w:pPr>
      <w:r>
        <w:rPr>
          <w:rFonts w:ascii="Arial" w:cs="Arial" w:eastAsia="Arial" w:hAnsi="Arial"/>
          <w:sz w:val="22"/>
          <w:szCs w:val="22"/>
        </w:rPr>
        <w:t xml:space="preserve">Anito-cel is a next-generation BCMA CAR-T featuring a fully human scFv (single-chain variable fragment) — designed to reduce CAR-T exhaustion and improve durability. At ASH 2025 (MD Anderson, Phase 2), 117 heavily pretreated patients showed:</w:t>
      </w:r>
    </w:p>
    <w:p>
      <w:pPr>
        <w:pStyle w:val="ListParagraph"/>
        <w:numPr>
          <w:ilvl w:val="0"/>
          <w:numId w:val="2"/>
        </w:numPr>
        <w:spacing w:after="40" w:before="40"/>
      </w:pPr>
      <w:r>
        <w:rPr>
          <w:rFonts w:ascii="Arial" w:cs="Arial" w:eastAsia="Arial" w:hAnsi="Arial"/>
          <w:sz w:val="22"/>
          <w:szCs w:val="22"/>
        </w:rPr>
        <w:t xml:space="preserve">Overall Response Rate: 97%</w:t>
      </w:r>
    </w:p>
    <w:p>
      <w:pPr>
        <w:pStyle w:val="ListParagraph"/>
        <w:numPr>
          <w:ilvl w:val="0"/>
          <w:numId w:val="2"/>
        </w:numPr>
        <w:spacing w:after="40" w:before="40"/>
      </w:pPr>
      <w:r>
        <w:rPr>
          <w:rFonts w:ascii="Arial" w:cs="Arial" w:eastAsia="Arial" w:hAnsi="Arial"/>
          <w:sz w:val="22"/>
          <w:szCs w:val="22"/>
        </w:rPr>
        <w:t xml:space="preserve">Complete Response Rate: 68%</w:t>
      </w:r>
    </w:p>
    <w:p>
      <w:pPr>
        <w:pStyle w:val="ListParagraph"/>
        <w:numPr>
          <w:ilvl w:val="0"/>
          <w:numId w:val="2"/>
        </w:numPr>
        <w:spacing w:after="40" w:before="40"/>
      </w:pPr>
      <w:r>
        <w:rPr>
          <w:rFonts w:ascii="Arial" w:cs="Arial" w:eastAsia="Arial" w:hAnsi="Arial"/>
          <w:sz w:val="22"/>
          <w:szCs w:val="22"/>
        </w:rPr>
        <w:t xml:space="preserve">12-month PFS: 79% | 18-month PFS: 66%</w:t>
      </w:r>
    </w:p>
    <w:p>
      <w:pPr>
        <w:pStyle w:val="ListParagraph"/>
        <w:numPr>
          <w:ilvl w:val="0"/>
          <w:numId w:val="2"/>
        </w:numPr>
        <w:spacing w:after="40" w:before="40"/>
      </w:pPr>
      <w:r>
        <w:rPr>
          <w:rFonts w:ascii="Arial" w:cs="Arial" w:eastAsia="Arial" w:hAnsi="Arial"/>
          <w:sz w:val="22"/>
          <w:szCs w:val="22"/>
        </w:rPr>
        <w:t xml:space="preserve">No delayed neurological toxicity (a significant advantage over earlier BCMA CAR-Ts)</w:t>
      </w:r>
    </w:p>
    <w:p>
      <w:pPr>
        <w:spacing w:after="80" w:before="60"/>
      </w:pPr>
      <w:r>
        <w:rPr>
          <w:rFonts w:ascii="Arial" w:cs="Arial" w:eastAsia="Arial" w:hAnsi="Arial"/>
          <w:sz w:val="22"/>
          <w:szCs w:val="22"/>
        </w:rPr>
        <w:t xml:space="preserve">Clinical trial enrollment at major US/UK centers should be explored urgently. Registration: NCT05801055.</w:t>
      </w:r>
    </w:p>
    <w:p>
      <w:pPr>
        <w:spacing w:after="80" w:before="60"/>
      </w:pPr>
      <w:r>
        <w:rPr>
          <w:rFonts w:ascii="Arial" w:cs="Arial" w:eastAsia="Arial" w:hAnsi="Arial"/>
          <w:sz w:val="22"/>
          <w:szCs w:val="22"/>
        </w:rPr>
        <w:t xml:space="preserve">Citation: ASH 2025, MD Anderson newsroom — anito-cel Phase 2 results.</w:t>
      </w:r>
    </w:p>
    <w:p>
      <w:pPr>
        <w:spacing w:after="0" w:before="80"/>
      </w:pPr>
      <w:r>
        <w:t xml:space="preserve"/>
      </w:r>
    </w:p>
    <w:p>
      <w:pPr>
        <w:pStyle w:val="Heading2"/>
        <w:spacing w:after="120" w:before="320"/>
      </w:pPr>
      <w:r>
        <w:rPr>
          <w:rFonts w:ascii="Arial" w:cs="Arial" w:eastAsia="Arial" w:hAnsi="Arial"/>
          <w:b/>
          <w:bCs/>
          <w:color w:val="2E5FA3"/>
          <w:sz w:val="32"/>
          <w:szCs w:val="32"/>
        </w:rPr>
        <w:t xml:space="preserve">5.3 Cevostamab (FcRH5-Directed Bispecific)</w:t>
      </w:r>
    </w:p>
    <w:p>
      <w:pPr>
        <w:spacing w:after="80" w:before="60"/>
      </w:pPr>
      <w:r>
        <w:rPr>
          <w:rFonts w:ascii="Arial" w:cs="Arial" w:eastAsia="Arial" w:hAnsi="Arial"/>
          <w:sz w:val="22"/>
          <w:szCs w:val="22"/>
        </w:rPr>
        <w:t xml:space="preserve">Cevostamab targets FcRH5 (Fc receptor homolog 5) — a completely different antigen from BCMA and GPRC5D. At ASH 2025, a combination trial with CAR-T showed 81% CR rate with 95% MRD negativity, and 93% still cancer-free at 1 year in responders. This non-BCMA, non-GPRC5D approach is critical for sequencing after BCMA-targeted treatments. Currently Phase 1/2 (Roche/Genentech).</w:t>
      </w:r>
    </w:p>
    <w:p>
      <w:pPr>
        <w:spacing w:after="0" w:before="80"/>
      </w:pPr>
      <w:r>
        <w:t xml:space="preserve"/>
      </w:r>
    </w:p>
    <w:p>
      <w:pPr>
        <w:pStyle w:val="Heading2"/>
        <w:spacing w:after="120" w:before="320"/>
      </w:pPr>
      <w:r>
        <w:rPr>
          <w:rFonts w:ascii="Arial" w:cs="Arial" w:eastAsia="Arial" w:hAnsi="Arial"/>
          <w:b/>
          <w:bCs/>
          <w:color w:val="2E5FA3"/>
          <w:sz w:val="32"/>
          <w:szCs w:val="32"/>
        </w:rPr>
        <w:t xml:space="preserve">5.4 Linvoseltamab (BCMA × CD3 Bispecific)</w:t>
      </w:r>
    </w:p>
    <w:p>
      <w:pPr>
        <w:spacing w:after="80" w:before="60"/>
      </w:pPr>
      <w:r>
        <w:rPr>
          <w:rFonts w:ascii="Arial" w:cs="Arial" w:eastAsia="Arial" w:hAnsi="Arial"/>
          <w:sz w:val="22"/>
          <w:szCs w:val="22"/>
        </w:rPr>
        <w:t xml:space="preserve">Linvoseltamab (Regeneron) is the third FDA-approved BCMA bispecific (2025), with ORR ~71% in heavily pretreated RRMM. It is an option if teclistamab is unavailable; similar mechanism, similar infection profile, same IVIG monitoring requirements.</w:t>
      </w:r>
    </w:p>
    <w:p>
      <w:pPr>
        <w:spacing w:after="0" w:before="80"/>
      </w:pPr>
      <w:r>
        <w:t xml:space="preserve"/>
      </w:r>
    </w:p>
    <w:p>
      <w:pPr>
        <w:pStyle w:val="Heading1"/>
        <w:spacing w:after="120" w:before="320"/>
      </w:pPr>
      <w:r>
        <w:rPr>
          <w:rFonts w:ascii="Arial" w:cs="Arial" w:eastAsia="Arial" w:hAnsi="Arial"/>
          <w:b/>
          <w:bCs/>
          <w:color w:val="1F3864"/>
          <w:sz w:val="40"/>
          <w:szCs w:val="40"/>
        </w:rPr>
        <w:t xml:space="preserve">SECTION 6: INDIA-SPECIFIC ACCESS PATHWAYS</w:t>
      </w:r>
    </w:p>
    <w:p>
      <w:pPr>
        <w:pStyle w:val="Heading2"/>
        <w:spacing w:after="120" w:before="320"/>
      </w:pPr>
      <w:r>
        <w:rPr>
          <w:rFonts w:ascii="Arial" w:cs="Arial" w:eastAsia="Arial" w:hAnsi="Arial"/>
          <w:b/>
          <w:bCs/>
          <w:color w:val="2E5FA3"/>
          <w:sz w:val="32"/>
          <w:szCs w:val="32"/>
        </w:rPr>
        <w:t xml:space="preserve">6.1 CAR-T Access in India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80"/>
      </w:tblGrid>
      <w:tr>
        <w:trPr>
          <w:tblHeader/>
        </w:trP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THERAPY</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INSTITUTION</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STATUS</w:t>
            </w:r>
          </w:p>
        </w:tc>
        <w:tc>
          <w:tcPr>
            <w:tcW w:type="dxa" w:w="2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ACTION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Cilta-cel (Carvykti)</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Tata Memorial, Mumbai</w:t>
            </w:r>
          </w:p>
        </w:tc>
        <w:tc>
          <w:tcPr>
            <w:tcW w:type="dxa" w:w="25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Compassionate use / Special import possible</w:t>
            </w:r>
          </w:p>
        </w:tc>
        <w:tc>
          <w:tcPr>
            <w:tcW w:type="dxa" w:w="2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Contact Dr. Navin Khattry, Tata Memorial BMT unit</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Talicabtagene autoleucel (ImmunoACT)</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HCG Hospitals / select centers</w:t>
            </w:r>
          </w:p>
        </w:tc>
        <w:tc>
          <w:tcPr>
            <w:tcW w:type="dxa" w:w="25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Approved for B-ALL; MM trials ongoing</w:t>
            </w:r>
          </w:p>
        </w:tc>
        <w:tc>
          <w:tcPr>
            <w:tcW w:type="dxa" w:w="2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Verify PRG1801 (BCMA CAR-T for MM) enrollment</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AIIMS BCMA CAR-T</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AIIMS, New Delhi</w:t>
            </w:r>
          </w:p>
        </w:tc>
        <w:tc>
          <w:tcPr>
            <w:tcW w:type="dxa" w:w="25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Pre-clinical to Phase 1; trials expected</w:t>
            </w:r>
          </w:p>
        </w:tc>
        <w:tc>
          <w:tcPr>
            <w:tcW w:type="dxa" w:w="2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Monitor — may not be available yet for enrollment</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Medical Tourism (cilta-cel)</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Singapore, UAE, Thailand</w:t>
            </w:r>
          </w:p>
        </w:tc>
        <w:tc>
          <w:tcPr>
            <w:tcW w:type="dxa" w:w="2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Available commercially</w:t>
            </w:r>
          </w:p>
        </w:tc>
        <w:tc>
          <w:tcPr>
            <w:tcW w:type="dxa" w:w="2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Viable if India access delayed; plan 3–4 month lead time for manufacturing</w:t>
            </w:r>
          </w:p>
        </w:tc>
      </w:tr>
    </w:tbl>
    <w:p>
      <w:pPr>
        <w:spacing w:after="0" w:before="80"/>
      </w:pPr>
      <w:r>
        <w:t xml:space="preserve"/>
      </w:r>
    </w:p>
    <w:p>
      <w:pPr>
        <w:pStyle w:val="Heading2"/>
        <w:spacing w:after="120" w:before="320"/>
      </w:pPr>
      <w:r>
        <w:rPr>
          <w:rFonts w:ascii="Arial" w:cs="Arial" w:eastAsia="Arial" w:hAnsi="Arial"/>
          <w:b/>
          <w:bCs/>
          <w:color w:val="2E5FA3"/>
          <w:sz w:val="32"/>
          <w:szCs w:val="32"/>
        </w:rPr>
        <w:t xml:space="preserve">6.2 Bispecific Antibody Access in India</w:t>
      </w:r>
    </w:p>
    <w:p>
      <w:pPr>
        <w:shd w:fill="FFF2CC" w:val="clear"/>
        <w:spacing w:after="80" w:before="80"/>
      </w:pPr>
      <w:r>
        <w:rPr>
          <w:rFonts w:ascii="Arial" w:cs="Arial" w:eastAsia="Arial" w:hAnsi="Arial"/>
          <w:b/>
          <w:bCs/>
          <w:color w:val="C55A11"/>
          <w:sz w:val="22"/>
          <w:szCs w:val="22"/>
        </w:rPr>
        <w:t xml:space="preserve">  INDIA REGULATORY NOTE: </w:t>
      </w:r>
      <w:r>
        <w:rPr>
          <w:rFonts w:ascii="Arial" w:cs="Arial" w:eastAsia="Arial" w:hAnsi="Arial"/>
          <w:sz w:val="22"/>
          <w:szCs w:val="22"/>
        </w:rPr>
        <w:t xml:space="preserve">As of April 2026, teclistamab, elranatamab, talquetamab, and linvoseltamab are approved in the US/EU but NOT yet by CDSCO (India). Access is possible through: (1) Clinical trials at participating Indian centers, (2) Special Import Licence (Form 9B under New Drugs Rules), (3) Named-patient basis through oncology distributors. J&amp;J's compassionate use program should be contacted directly, given the patient's prior relationship through the Darzalex patient assistance program.  </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Contact Janssen India (J&amp;J subsidiary) for teclistamab and talquetamab compassionate use / Named Patient Program</w:t>
      </w:r>
    </w:p>
    <w:p>
      <w:pPr>
        <w:pStyle w:val="ListParagraph"/>
        <w:numPr>
          <w:ilvl w:val="0"/>
          <w:numId w:val="2"/>
        </w:numPr>
        <w:spacing w:after="40" w:before="40"/>
      </w:pPr>
      <w:r>
        <w:rPr>
          <w:rFonts w:ascii="Arial" w:cs="Arial" w:eastAsia="Arial" w:hAnsi="Arial"/>
          <w:sz w:val="22"/>
          <w:szCs w:val="22"/>
        </w:rPr>
        <w:t xml:space="preserve">Check ClinicalTrials.gov for India-enrolling RRMM bispecific trials (search: NCT teclistamab India, NCT talquetamab India)</w:t>
      </w:r>
    </w:p>
    <w:p>
      <w:pPr>
        <w:pStyle w:val="ListParagraph"/>
        <w:numPr>
          <w:ilvl w:val="0"/>
          <w:numId w:val="2"/>
        </w:numPr>
        <w:spacing w:after="40" w:before="40"/>
      </w:pPr>
      <w:r>
        <w:rPr>
          <w:rFonts w:ascii="Arial" w:cs="Arial" w:eastAsia="Arial" w:hAnsi="Arial"/>
          <w:sz w:val="22"/>
          <w:szCs w:val="22"/>
        </w:rPr>
        <w:t xml:space="preserve">PGIMER Chandigarh and CMC Vellore have enrolled in international trials — verify current enrollment status</w:t>
      </w:r>
    </w:p>
    <w:p>
      <w:pPr>
        <w:pStyle w:val="ListParagraph"/>
        <w:numPr>
          <w:ilvl w:val="0"/>
          <w:numId w:val="2"/>
        </w:numPr>
        <w:spacing w:after="40" w:before="40"/>
      </w:pPr>
      <w:r>
        <w:rPr>
          <w:rFonts w:ascii="Arial" w:cs="Arial" w:eastAsia="Arial" w:hAnsi="Arial"/>
          <w:sz w:val="22"/>
          <w:szCs w:val="22"/>
        </w:rPr>
        <w:t xml:space="preserve">Consider Apollo Hospitals, Medanta, or Artemis Gurugram — these private centers often access novel agents via patient assistance or clinical programs</w:t>
      </w:r>
    </w:p>
    <w:p>
      <w:pPr>
        <w:spacing w:after="0" w:before="80"/>
      </w:pPr>
      <w:r>
        <w:t xml:space="preserve"/>
      </w:r>
    </w:p>
    <w:p>
      <w:pPr>
        <w:pStyle w:val="Heading2"/>
        <w:spacing w:after="120" w:before="320"/>
      </w:pPr>
      <w:r>
        <w:rPr>
          <w:rFonts w:ascii="Arial" w:cs="Arial" w:eastAsia="Arial" w:hAnsi="Arial"/>
          <w:b/>
          <w:bCs/>
          <w:color w:val="2E5FA3"/>
          <w:sz w:val="32"/>
          <w:szCs w:val="32"/>
        </w:rPr>
        <w:t xml:space="preserve">6.3 ClinicalTrials.gov — Recommended Searches</w:t>
      </w:r>
    </w:p>
    <w:p>
      <w:pPr>
        <w:pStyle w:val="ListParagraph"/>
        <w:numPr>
          <w:ilvl w:val="0"/>
          <w:numId w:val="2"/>
        </w:numPr>
        <w:spacing w:after="40" w:before="40"/>
      </w:pPr>
      <w:r>
        <w:rPr>
          <w:rFonts w:ascii="Arial" w:cs="Arial" w:eastAsia="Arial" w:hAnsi="Arial"/>
          <w:sz w:val="22"/>
          <w:szCs w:val="22"/>
        </w:rPr>
        <w:t xml:space="preserve">Teclistamab + India / Relapsed Refractory MM: NCT04557098 (MajesTEC-1), NCT05090566 (MajesTEC-3)</w:t>
      </w:r>
    </w:p>
    <w:p>
      <w:pPr>
        <w:pStyle w:val="ListParagraph"/>
        <w:numPr>
          <w:ilvl w:val="0"/>
          <w:numId w:val="2"/>
        </w:numPr>
        <w:spacing w:after="40" w:before="40"/>
      </w:pPr>
      <w:r>
        <w:rPr>
          <w:rFonts w:ascii="Arial" w:cs="Arial" w:eastAsia="Arial" w:hAnsi="Arial"/>
          <w:sz w:val="22"/>
          <w:szCs w:val="22"/>
        </w:rPr>
        <w:t xml:space="preserve">Talquetamab + India / RRMM: NCT04634552 (MonumenTAL-1), NCT05038696 (TRIMM-2)</w:t>
      </w:r>
    </w:p>
    <w:p>
      <w:pPr>
        <w:pStyle w:val="ListParagraph"/>
        <w:numPr>
          <w:ilvl w:val="0"/>
          <w:numId w:val="2"/>
        </w:numPr>
        <w:spacing w:after="40" w:before="40"/>
      </w:pPr>
      <w:r>
        <w:rPr>
          <w:rFonts w:ascii="Arial" w:cs="Arial" w:eastAsia="Arial" w:hAnsi="Arial"/>
          <w:sz w:val="22"/>
          <w:szCs w:val="22"/>
        </w:rPr>
        <w:t xml:space="preserve">Mezigdomide + India: NCT03989414 (CC-92480-MM-002)</w:t>
      </w:r>
    </w:p>
    <w:p>
      <w:pPr>
        <w:pStyle w:val="ListParagraph"/>
        <w:numPr>
          <w:ilvl w:val="0"/>
          <w:numId w:val="2"/>
        </w:numPr>
        <w:spacing w:after="40" w:before="40"/>
      </w:pPr>
      <w:r>
        <w:rPr>
          <w:rFonts w:ascii="Arial" w:cs="Arial" w:eastAsia="Arial" w:hAnsi="Arial"/>
          <w:sz w:val="22"/>
          <w:szCs w:val="22"/>
        </w:rPr>
        <w:t xml:space="preserve">In Vivo CAR-T trials: NCT05945433 (BMS-986393 Phase 1) — check India sites</w:t>
      </w:r>
    </w:p>
    <w:p>
      <w:pPr>
        <w:pStyle w:val="ListParagraph"/>
        <w:numPr>
          <w:ilvl w:val="0"/>
          <w:numId w:val="2"/>
        </w:numPr>
        <w:spacing w:after="40" w:before="40"/>
      </w:pPr>
      <w:r>
        <w:rPr>
          <w:rFonts w:ascii="Arial" w:cs="Arial" w:eastAsia="Arial" w:hAnsi="Arial"/>
          <w:sz w:val="22"/>
          <w:szCs w:val="22"/>
        </w:rPr>
        <w:t xml:space="preserve">Anito-cel: NCT05801055 — primarily US/EU; explore medical tourism</w:t>
      </w:r>
    </w:p>
    <w:p>
      <w:pPr>
        <w:spacing w:after="0" w:before="80"/>
      </w:pPr>
      <w:r>
        <w:t xml:space="preserve"/>
      </w:r>
    </w:p>
    <w:p>
      <w:pPr>
        <w:pStyle w:val="Heading1"/>
        <w:spacing w:after="120" w:before="320"/>
      </w:pPr>
      <w:r>
        <w:rPr>
          <w:rFonts w:ascii="Arial" w:cs="Arial" w:eastAsia="Arial" w:hAnsi="Arial"/>
          <w:b/>
          <w:bCs/>
          <w:color w:val="1F3864"/>
          <w:sz w:val="40"/>
          <w:szCs w:val="40"/>
        </w:rPr>
        <w:t xml:space="preserve">SECTION 7: CRITICAL SUPPORTIVE CARE — NON-NEGOTIABLE</w:t>
      </w:r>
    </w:p>
    <w:p>
      <w:pPr>
        <w:pStyle w:val="Heading2"/>
        <w:spacing w:after="120" w:before="320"/>
      </w:pPr>
      <w:r>
        <w:rPr>
          <w:rFonts w:ascii="Arial" w:cs="Arial" w:eastAsia="Arial" w:hAnsi="Arial"/>
          <w:b/>
          <w:bCs/>
          <w:color w:val="2E5FA3"/>
          <w:sz w:val="32"/>
          <w:szCs w:val="32"/>
        </w:rPr>
        <w:t xml:space="preserve">7.1 Infection Prevention (HIGHEST PRIORITY)</w:t>
      </w:r>
    </w:p>
    <w:p>
      <w:pPr>
        <w:shd w:fill="FCE4D6" w:val="clear"/>
        <w:spacing w:after="80" w:before="80"/>
      </w:pPr>
      <w:r>
        <w:rPr>
          <w:rFonts w:ascii="Arial" w:cs="Arial" w:eastAsia="Arial" w:hAnsi="Arial"/>
          <w:b w:val="false"/>
          <w:bCs w:val="false"/>
          <w:color w:val="C00000"/>
          <w:sz w:val="22"/>
          <w:szCs w:val="22"/>
        </w:rPr>
        <w:t xml:space="preserve">  ⚠️ Given IgG of 515 mg/dL (below normal range), absolute neutropenia (ANC ~1.5), and the immunosuppressive burden of any next-line therapy, infection prevention is a life-critical intervention. Failure to implement prophylaxis before starting bispecific/CAR-T therapy carries mortality risk equivalent to the cancer itself.  </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8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INTERVENTION</w:t>
            </w:r>
          </w:p>
        </w:tc>
        <w:tc>
          <w:tcPr>
            <w:tcW w:type="dxa" w:w="4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30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INDICATION</w:t>
            </w:r>
          </w:p>
        </w:tc>
      </w:tr>
      <w:tr>
        <w:tc>
          <w:tcPr>
            <w:tcW w:type="dxa" w:w="3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IVIG (IV Immunoglobulin)</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 g/kg IV monthly; maintain IgG &gt;400–500 mg/dL</w:t>
            </w:r>
          </w:p>
        </w:tc>
        <w:tc>
          <w:tcPr>
            <w:tcW w:type="dxa" w:w="30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IgG 515 mg/dL — already at threshold; essential before bispecific therapy</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Antiviral prophylaxis</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Acyclovir 400mg BID (valacyclovir preferred) — ongoing</w:t>
            </w:r>
          </w:p>
        </w:tc>
        <w:tc>
          <w:tcPr>
            <w:tcW w:type="dxa" w:w="3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Herpes zoster reactivation risk; mandatory with steroid use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PJP prophylaxis</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Trimethoprim-Sulfamethoxazole SS (or dapsone if sulfa allergy)</w:t>
            </w:r>
          </w:p>
        </w:tc>
        <w:tc>
          <w:tcPr>
            <w:tcW w:type="dxa" w:w="3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MANDATORY with any bispecific antibody or IMiD use</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Antifungal prophylaxis</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Fluconazole 150–200mg weekly</w:t>
            </w:r>
          </w:p>
        </w:tc>
        <w:tc>
          <w:tcPr>
            <w:tcW w:type="dxa" w:w="3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Consider during steroid-heavy induction phases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G-CSF (Filgrastim/Neupogen)</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Consider prophylactic or secondary G-CSF given ANC ~1.5</w:t>
            </w:r>
          </w:p>
        </w:tc>
        <w:tc>
          <w:tcPr>
            <w:tcW w:type="dxa" w:w="3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Neutropenia — discuss with treating physician</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COVID/Flu Vaccines</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Annual flu vaccine; COVID booster; avoid live vaccines</w:t>
            </w:r>
          </w:p>
        </w:tc>
        <w:tc>
          <w:tcPr>
            <w:tcW w:type="dxa" w:w="3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Immunosuppressed state makes infections more severe</w:t>
            </w:r>
          </w:p>
        </w:tc>
      </w:tr>
    </w:tbl>
    <w:p>
      <w:pPr>
        <w:spacing w:after="0" w:before="80"/>
      </w:pPr>
      <w:r>
        <w:t xml:space="preserve"/>
      </w:r>
    </w:p>
    <w:p>
      <w:pPr>
        <w:pStyle w:val="Heading2"/>
        <w:spacing w:after="120" w:before="320"/>
      </w:pPr>
      <w:r>
        <w:rPr>
          <w:rFonts w:ascii="Arial" w:cs="Arial" w:eastAsia="Arial" w:hAnsi="Arial"/>
          <w:b/>
          <w:bCs/>
          <w:color w:val="2E5FA3"/>
          <w:sz w:val="32"/>
          <w:szCs w:val="32"/>
        </w:rPr>
        <w:t xml:space="preserve">7.2 Renal Protection</w:t>
      </w:r>
    </w:p>
    <w:p>
      <w:pPr>
        <w:pStyle w:val="ListParagraph"/>
        <w:numPr>
          <w:ilvl w:val="0"/>
          <w:numId w:val="2"/>
        </w:numPr>
        <w:spacing w:after="40" w:before="40"/>
      </w:pPr>
      <w:r>
        <w:rPr>
          <w:rFonts w:ascii="Arial" w:cs="Arial" w:eastAsia="Arial" w:hAnsi="Arial"/>
          <w:sz w:val="22"/>
          <w:szCs w:val="22"/>
        </w:rPr>
        <w:t xml:space="preserve">Aggressive oral hydration (≥2–3L/day) to protect against light chain cast nephropathy</w:t>
      </w:r>
    </w:p>
    <w:p>
      <w:pPr>
        <w:pStyle w:val="ListParagraph"/>
        <w:numPr>
          <w:ilvl w:val="0"/>
          <w:numId w:val="2"/>
        </w:numPr>
        <w:spacing w:after="40" w:before="40"/>
      </w:pPr>
      <w:r>
        <w:rPr>
          <w:rFonts w:ascii="Arial" w:cs="Arial" w:eastAsia="Arial" w:hAnsi="Arial"/>
          <w:sz w:val="22"/>
          <w:szCs w:val="22"/>
        </w:rPr>
        <w:t xml:space="preserve">Avoid NSAIDs, contrast agents, aminoglycosides — all nephrotoxic</w:t>
      </w:r>
    </w:p>
    <w:p>
      <w:pPr>
        <w:pStyle w:val="ListParagraph"/>
        <w:numPr>
          <w:ilvl w:val="0"/>
          <w:numId w:val="2"/>
        </w:numPr>
        <w:spacing w:after="40" w:before="40"/>
      </w:pPr>
      <w:r>
        <w:rPr>
          <w:rFonts w:ascii="Arial" w:cs="Arial" w:eastAsia="Arial" w:hAnsi="Arial"/>
          <w:sz w:val="22"/>
          <w:szCs w:val="22"/>
        </w:rPr>
        <w:t xml:space="preserve">Monitor creatinine/eGFR every 4 weeks; intervene early if eGFR drops below 35</w:t>
      </w:r>
    </w:p>
    <w:p>
      <w:pPr>
        <w:pStyle w:val="ListParagraph"/>
        <w:numPr>
          <w:ilvl w:val="0"/>
          <w:numId w:val="2"/>
        </w:numPr>
        <w:spacing w:after="40" w:before="40"/>
      </w:pPr>
      <w:r>
        <w:rPr>
          <w:rFonts w:ascii="Arial" w:cs="Arial" w:eastAsia="Arial" w:hAnsi="Arial"/>
          <w:sz w:val="22"/>
          <w:szCs w:val="22"/>
        </w:rPr>
        <w:t xml:space="preserve">Nephrology co-management recommended — CKD G3b requires dedicated nephrology input</w:t>
      </w:r>
    </w:p>
    <w:p>
      <w:pPr>
        <w:pStyle w:val="ListParagraph"/>
        <w:numPr>
          <w:ilvl w:val="0"/>
          <w:numId w:val="2"/>
        </w:numPr>
        <w:spacing w:after="40" w:before="40"/>
      </w:pPr>
      <w:r>
        <w:rPr>
          <w:rFonts w:ascii="Arial" w:cs="Arial" w:eastAsia="Arial" w:hAnsi="Arial"/>
          <w:sz w:val="22"/>
          <w:szCs w:val="22"/>
        </w:rPr>
        <w:t xml:space="preserve">Zoledronic acid: currently NOT recommended at eGFR &lt;30; at eGFR 39–43, use with extreme caution, maximum dose adjustment, and only quarterly. Consider denosumab as the preferred bone agent for CKD</w:t>
      </w:r>
    </w:p>
    <w:p>
      <w:pPr>
        <w:spacing w:after="0" w:before="80"/>
      </w:pPr>
      <w:r>
        <w:t xml:space="preserve"/>
      </w:r>
    </w:p>
    <w:p>
      <w:pPr>
        <w:pStyle w:val="Heading2"/>
        <w:spacing w:after="120" w:before="320"/>
      </w:pPr>
      <w:r>
        <w:rPr>
          <w:rFonts w:ascii="Arial" w:cs="Arial" w:eastAsia="Arial" w:hAnsi="Arial"/>
          <w:b/>
          <w:bCs/>
          <w:color w:val="2E5FA3"/>
          <w:sz w:val="32"/>
          <w:szCs w:val="32"/>
        </w:rPr>
        <w:t xml:space="preserve">7.3 Anemia Management</w:t>
      </w:r>
    </w:p>
    <w:p>
      <w:pPr>
        <w:pStyle w:val="ListParagraph"/>
        <w:numPr>
          <w:ilvl w:val="0"/>
          <w:numId w:val="2"/>
        </w:numPr>
        <w:spacing w:after="40" w:before="40"/>
      </w:pPr>
      <w:r>
        <w:rPr>
          <w:rFonts w:ascii="Arial" w:cs="Arial" w:eastAsia="Arial" w:hAnsi="Arial"/>
          <w:sz w:val="22"/>
          <w:szCs w:val="22"/>
        </w:rPr>
        <w:t xml:space="preserve">Mentzer Index &gt;13 across all 2025 tests — suggests iron deficiency component</w:t>
      </w:r>
    </w:p>
    <w:p>
      <w:pPr>
        <w:pStyle w:val="ListParagraph"/>
        <w:numPr>
          <w:ilvl w:val="0"/>
          <w:numId w:val="2"/>
        </w:numPr>
        <w:spacing w:after="40" w:before="40"/>
      </w:pPr>
      <w:r>
        <w:rPr>
          <w:rFonts w:ascii="Arial" w:cs="Arial" w:eastAsia="Arial" w:hAnsi="Arial"/>
          <w:sz w:val="22"/>
          <w:szCs w:val="22"/>
        </w:rPr>
        <w:t xml:space="preserve">Check serum iron, TIBC, ferritin — supplement with IV iron if iron deficient</w:t>
      </w:r>
    </w:p>
    <w:p>
      <w:pPr>
        <w:pStyle w:val="ListParagraph"/>
        <w:numPr>
          <w:ilvl w:val="0"/>
          <w:numId w:val="2"/>
        </w:numPr>
        <w:spacing w:after="40" w:before="40"/>
      </w:pPr>
      <w:r>
        <w:rPr>
          <w:rFonts w:ascii="Arial" w:cs="Arial" w:eastAsia="Arial" w:hAnsi="Arial"/>
          <w:sz w:val="22"/>
          <w:szCs w:val="22"/>
        </w:rPr>
        <w:t xml:space="preserve">Consider ESA (erythropoiesis-stimulating agents) if Hgb consistently &lt;10 g/dL and iron replete</w:t>
      </w:r>
    </w:p>
    <w:p>
      <w:pPr>
        <w:pStyle w:val="ListParagraph"/>
        <w:numPr>
          <w:ilvl w:val="0"/>
          <w:numId w:val="2"/>
        </w:numPr>
        <w:spacing w:after="40" w:before="40"/>
      </w:pPr>
      <w:r>
        <w:rPr>
          <w:rFonts w:ascii="Arial" w:cs="Arial" w:eastAsia="Arial" w:hAnsi="Arial"/>
          <w:sz w:val="22"/>
          <w:szCs w:val="22"/>
        </w:rPr>
        <w:t xml:space="preserve">Transfusion threshold: discuss with treating team; generally transfuse if Hgb &lt;7–8 or symptomatic</w:t>
      </w:r>
    </w:p>
    <w:p>
      <w:pPr>
        <w:spacing w:after="0" w:before="80"/>
      </w:pPr>
      <w:r>
        <w:t xml:space="preserve"/>
      </w:r>
    </w:p>
    <w:p>
      <w:pPr>
        <w:pStyle w:val="Heading2"/>
        <w:spacing w:after="120" w:before="320"/>
      </w:pPr>
      <w:r>
        <w:rPr>
          <w:rFonts w:ascii="Arial" w:cs="Arial" w:eastAsia="Arial" w:hAnsi="Arial"/>
          <w:b/>
          <w:bCs/>
          <w:color w:val="2E5FA3"/>
          <w:sz w:val="32"/>
          <w:szCs w:val="32"/>
        </w:rPr>
        <w:t xml:space="preserve">7.4 Bone Disease</w:t>
      </w:r>
    </w:p>
    <w:p>
      <w:pPr>
        <w:pStyle w:val="ListParagraph"/>
        <w:numPr>
          <w:ilvl w:val="0"/>
          <w:numId w:val="2"/>
        </w:numPr>
        <w:spacing w:after="40" w:before="40"/>
      </w:pPr>
      <w:r>
        <w:rPr>
          <w:rFonts w:ascii="Arial" w:cs="Arial" w:eastAsia="Arial" w:hAnsi="Arial"/>
          <w:sz w:val="22"/>
          <w:szCs w:val="22"/>
        </w:rPr>
        <w:t xml:space="preserve">D1, D2, D6 vertebral fractures (old) + active bone disease on prior PET — orthopedic evaluation if any back pain worsens</w:t>
      </w:r>
    </w:p>
    <w:p>
      <w:pPr>
        <w:pStyle w:val="ListParagraph"/>
        <w:numPr>
          <w:ilvl w:val="0"/>
          <w:numId w:val="2"/>
        </w:numPr>
        <w:spacing w:after="40" w:before="40"/>
      </w:pPr>
      <w:r>
        <w:rPr>
          <w:rFonts w:ascii="Arial" w:cs="Arial" w:eastAsia="Arial" w:hAnsi="Arial"/>
          <w:sz w:val="22"/>
          <w:szCs w:val="22"/>
        </w:rPr>
        <w:t xml:space="preserve">Bone-protective agent: switch from Zoledronic acid to Denosumab 120mg SC monthly — preferred in CKD</w:t>
      </w:r>
    </w:p>
    <w:p>
      <w:pPr>
        <w:pStyle w:val="ListParagraph"/>
        <w:numPr>
          <w:ilvl w:val="0"/>
          <w:numId w:val="2"/>
        </w:numPr>
        <w:spacing w:after="40" w:before="40"/>
      </w:pPr>
      <w:r>
        <w:rPr>
          <w:rFonts w:ascii="Arial" w:cs="Arial" w:eastAsia="Arial" w:hAnsi="Arial"/>
          <w:sz w:val="22"/>
          <w:szCs w:val="22"/>
        </w:rPr>
        <w:t xml:space="preserve">Calcium + Vitamin D supplementation alongside bone agents</w:t>
      </w:r>
    </w:p>
    <w:p>
      <w:pPr>
        <w:spacing w:after="0" w:before="80"/>
      </w:pPr>
      <w:r>
        <w:t xml:space="preserve"/>
      </w:r>
    </w:p>
    <w:p>
      <w:pPr>
        <w:pStyle w:val="Heading1"/>
        <w:spacing w:after="120" w:before="320"/>
      </w:pPr>
      <w:r>
        <w:rPr>
          <w:rFonts w:ascii="Arial" w:cs="Arial" w:eastAsia="Arial" w:hAnsi="Arial"/>
          <w:b/>
          <w:bCs/>
          <w:color w:val="1F3864"/>
          <w:sz w:val="40"/>
          <w:szCs w:val="40"/>
        </w:rPr>
        <w:t xml:space="preserve">SECTION 8: RECOMMENDED TREATMENT SEQUENCING STRATEGY</w:t>
      </w:r>
    </w:p>
    <w:p>
      <w:pPr>
        <w:spacing w:after="80" w:before="60"/>
      </w:pPr>
      <w:r>
        <w:rPr>
          <w:rFonts w:ascii="Arial" w:cs="Arial" w:eastAsia="Arial" w:hAnsi="Arial"/>
          <w:sz w:val="22"/>
          <w:szCs w:val="22"/>
        </w:rPr>
        <w:t xml:space="preserve">Based on the overall evidence synthesis, the following is the recommended stepwise strategy for Vipan Kumar Garg:</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500"/>
        <w:gridCol w:w="238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c>
          <w:tcPr>
            <w:tcW w:type="dxa" w:w="23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TIMING</w:t>
            </w:r>
          </w:p>
        </w:tc>
      </w:tr>
      <w:t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3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IMMEDIATELY: Establish IVIG + infection prophylaxis</w:t>
            </w:r>
          </w:p>
        </w:tc>
        <w:tc>
          <w:tcPr>
            <w:tcW w:type="dxa" w:w="35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IgG &lt;650 = hypogammaglobulinemia risk. Life-threatening risk before any immune therapy.</w:t>
            </w:r>
          </w:p>
        </w:tc>
        <w:tc>
          <w:tcPr>
            <w:tcW w:type="dxa" w:w="2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This week / next clinic visit</w:t>
            </w:r>
          </w:p>
        </w:tc>
      </w:tr>
      <w:t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3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URGENT: Nephrology consult + Renal optimization</w:t>
            </w:r>
          </w:p>
        </w:tc>
        <w:tc>
          <w:tcPr>
            <w:tcW w:type="dxa" w:w="35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eGFR 39–43 affects CAR-T eligibility. Optimization may improve access threshold to eGFR ≥40.</w:t>
            </w:r>
          </w:p>
        </w:tc>
        <w:tc>
          <w:tcPr>
            <w:tcW w:type="dxa" w:w="23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Within 2 weeks</w:t>
            </w:r>
          </w:p>
        </w:tc>
      </w:tr>
      <w:t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3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PRIORITY: Evaluate for BCMA CAR-T (cilta-cel / tali-cel / PRG1801)</w:t>
            </w:r>
          </w:p>
        </w:tc>
        <w:tc>
          <w:tcPr>
            <w:tcW w:type="dxa" w:w="3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Best option for durable remission. Contact Tata Memorial, ImmunoACT, AIIMS simultaneously.</w:t>
            </w:r>
          </w:p>
        </w:tc>
        <w:tc>
          <w:tcPr>
            <w:tcW w:type="dxa" w:w="2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Initiate consults within 1 month</w:t>
            </w:r>
          </w:p>
        </w:tc>
      </w:tr>
      <w:t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4A</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IF CAR-T approved: Consider Talquetamab as bridge therapy during manufacturing</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GPRC5D bridge avoids BCMA consumption, controls disease while waiting for cilta-cel manufacturing (4–8 weeks)</w:t>
            </w:r>
          </w:p>
        </w:tc>
        <w:tc>
          <w:tcPr>
            <w:tcW w:type="dxa" w:w="23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During CAR-T manufacturing period</w:t>
            </w:r>
          </w:p>
        </w:tc>
      </w:tr>
      <w:t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4B</w:t>
            </w:r>
          </w:p>
        </w:tc>
        <w:tc>
          <w:tcPr>
            <w:tcW w:type="dxa" w:w="3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IF CAR-T not available: Teclistamab + Daratumumab (Named Patient / Trial)</w:t>
            </w:r>
          </w:p>
        </w:tc>
        <w:tc>
          <w:tcPr>
            <w:tcW w:type="dxa" w:w="3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MajesTEC-3 data is landmark; 83.4% 3-year PFS. Best available bispecific data in this exact population.</w:t>
            </w:r>
          </w:p>
        </w:tc>
        <w:tc>
          <w:tcPr>
            <w:tcW w:type="dxa" w:w="2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Immediate parallel pursuit</w:t>
            </w:r>
          </w:p>
        </w:tc>
      </w:tr>
      <w:t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POST-CAR-T relapse or CAR-T ineligibility: Talquetamab ± Dara</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GPRC5D distinct from BCMA — active after BCMA exposure; TRIMM-2 shows Talq+Dara activity</w:t>
            </w:r>
          </w:p>
        </w:tc>
        <w:tc>
          <w:tcPr>
            <w:tcW w:type="dxa" w:w="23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If/when needed post-BCMA therapy</w:t>
            </w:r>
          </w:p>
        </w:tc>
      </w:tr>
      <w:t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LATER LINE: Mezigdomide + Dara + Dexa (if approved), or SPd (Selinexor + Pomalidomide + Dexa)</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1q21+ benefits from selinexor. Pomalidomide safe in CKD. Oral options for outpatient management.</w:t>
            </w:r>
          </w:p>
        </w:tc>
        <w:tc>
          <w:tcPr>
            <w:tcW w:type="dxa" w:w="23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3rd–4th line if needed</w:t>
            </w:r>
          </w:p>
        </w:tc>
      </w:tr>
    </w:tbl>
    <w:p>
      <w:pPr>
        <w:spacing w:after="0" w:before="80"/>
      </w:pPr>
      <w:r>
        <w:t xml:space="preserve"/>
      </w:r>
    </w:p>
    <w:p>
      <w:pPr>
        <w:pStyle w:val="Heading1"/>
        <w:spacing w:after="120" w:before="320"/>
      </w:pPr>
      <w:r>
        <w:rPr>
          <w:rFonts w:ascii="Arial" w:cs="Arial" w:eastAsia="Arial" w:hAnsi="Arial"/>
          <w:b/>
          <w:bCs/>
          <w:color w:val="1F3864"/>
          <w:sz w:val="40"/>
          <w:szCs w:val="40"/>
        </w:rPr>
        <w:t xml:space="preserve">SECTION 9: KEY QUESTIONS TO ASK THE TREATING TEAM</w:t>
      </w:r>
    </w:p>
    <w:p>
      <w:pPr>
        <w:spacing w:after="80" w:before="60"/>
      </w:pPr>
      <w:r>
        <w:rPr>
          <w:rFonts w:ascii="Arial" w:cs="Arial" w:eastAsia="Arial" w:hAnsi="Arial"/>
          <w:sz w:val="22"/>
          <w:szCs w:val="22"/>
        </w:rPr>
        <w:t xml:space="preserve">We recommend bringing the following questions to the next consultation at Max Healthcare, and potentially seeking a second opinion from Dr. Prashant Mehta at Amrita Hospital or a CAR-T-specialized center:</w:t>
      </w:r>
    </w:p>
    <w:p>
      <w:pPr>
        <w:spacing w:after="0" w:before="40"/>
      </w:pPr>
      <w:r>
        <w:t xml:space="preserve"/>
      </w:r>
    </w:p>
    <w:p>
      <w:pPr>
        <w:pStyle w:val="Heading2"/>
        <w:spacing w:after="120" w:before="320"/>
      </w:pPr>
      <w:r>
        <w:rPr>
          <w:rFonts w:ascii="Arial" w:cs="Arial" w:eastAsia="Arial" w:hAnsi="Arial"/>
          <w:b/>
          <w:bCs/>
          <w:color w:val="2E5FA3"/>
          <w:sz w:val="32"/>
          <w:szCs w:val="32"/>
        </w:rPr>
        <w:t xml:space="preserve">On CAR-T Eligibility</w:t>
      </w:r>
    </w:p>
    <w:p>
      <w:pPr>
        <w:pStyle w:val="ListParagraph"/>
        <w:numPr>
          <w:ilvl w:val="0"/>
          <w:numId w:val="2"/>
        </w:numPr>
        <w:spacing w:after="40" w:before="40"/>
      </w:pPr>
      <w:r>
        <w:rPr>
          <w:rFonts w:ascii="Arial" w:cs="Arial" w:eastAsia="Arial" w:hAnsi="Arial"/>
          <w:sz w:val="22"/>
          <w:szCs w:val="22"/>
        </w:rPr>
        <w:t xml:space="preserve">Given my eGFR of 43 in August 2025, am I eligible for cilta-cel (CARTITUDE-4 threshold is eGFR ≥40)? What can be done to optimize renal function before apheresis?</w:t>
      </w:r>
    </w:p>
    <w:p>
      <w:pPr>
        <w:pStyle w:val="ListParagraph"/>
        <w:numPr>
          <w:ilvl w:val="0"/>
          <w:numId w:val="2"/>
        </w:numPr>
        <w:spacing w:after="40" w:before="40"/>
      </w:pPr>
      <w:r>
        <w:rPr>
          <w:rFonts w:ascii="Arial" w:cs="Arial" w:eastAsia="Arial" w:hAnsi="Arial"/>
          <w:sz w:val="22"/>
          <w:szCs w:val="22"/>
        </w:rPr>
        <w:t xml:space="preserve">Is there an active clinical trial in India (PRG1801, ImmunoACT tali-cel, AIIMS CAR-T) for which I qualify?</w:t>
      </w:r>
    </w:p>
    <w:p>
      <w:pPr>
        <w:pStyle w:val="ListParagraph"/>
        <w:numPr>
          <w:ilvl w:val="0"/>
          <w:numId w:val="2"/>
        </w:numPr>
        <w:spacing w:after="40" w:before="40"/>
      </w:pPr>
      <w:r>
        <w:rPr>
          <w:rFonts w:ascii="Arial" w:cs="Arial" w:eastAsia="Arial" w:hAnsi="Arial"/>
          <w:sz w:val="22"/>
          <w:szCs w:val="22"/>
        </w:rPr>
        <w:t xml:space="preserve">What is the apheresis process, T-cell quality assessment, and manufacturing timeline estimate?</w:t>
      </w:r>
    </w:p>
    <w:p>
      <w:pPr>
        <w:pStyle w:val="Heading2"/>
        <w:spacing w:after="120" w:before="320"/>
      </w:pPr>
      <w:r>
        <w:rPr>
          <w:rFonts w:ascii="Arial" w:cs="Arial" w:eastAsia="Arial" w:hAnsi="Arial"/>
          <w:b/>
          <w:bCs/>
          <w:color w:val="2E5FA3"/>
          <w:sz w:val="32"/>
          <w:szCs w:val="32"/>
        </w:rPr>
        <w:t xml:space="preserve">On Bispecific Antibodies</w:t>
      </w:r>
    </w:p>
    <w:p>
      <w:pPr>
        <w:pStyle w:val="ListParagraph"/>
        <w:numPr>
          <w:ilvl w:val="0"/>
          <w:numId w:val="2"/>
        </w:numPr>
        <w:spacing w:after="40" w:before="40"/>
      </w:pPr>
      <w:r>
        <w:rPr>
          <w:rFonts w:ascii="Arial" w:cs="Arial" w:eastAsia="Arial" w:hAnsi="Arial"/>
          <w:sz w:val="22"/>
          <w:szCs w:val="22"/>
        </w:rPr>
        <w:t xml:space="preserve">Can teclistamab be accessed on a Named Patient basis or through the MajesTEC compassionate use program given J&amp;J's existing patient relationship?</w:t>
      </w:r>
    </w:p>
    <w:p>
      <w:pPr>
        <w:pStyle w:val="ListParagraph"/>
        <w:numPr>
          <w:ilvl w:val="0"/>
          <w:numId w:val="2"/>
        </w:numPr>
        <w:spacing w:after="40" w:before="40"/>
      </w:pPr>
      <w:r>
        <w:rPr>
          <w:rFonts w:ascii="Arial" w:cs="Arial" w:eastAsia="Arial" w:hAnsi="Arial"/>
          <w:sz w:val="22"/>
          <w:szCs w:val="22"/>
        </w:rPr>
        <w:t xml:space="preserve">Should IVIG be started now given my IgG of 515 mg/dL, before any immune therapy?</w:t>
      </w:r>
    </w:p>
    <w:p>
      <w:pPr>
        <w:pStyle w:val="ListParagraph"/>
        <w:numPr>
          <w:ilvl w:val="0"/>
          <w:numId w:val="2"/>
        </w:numPr>
        <w:spacing w:after="40" w:before="40"/>
      </w:pPr>
      <w:r>
        <w:rPr>
          <w:rFonts w:ascii="Arial" w:cs="Arial" w:eastAsia="Arial" w:hAnsi="Arial"/>
          <w:sz w:val="22"/>
          <w:szCs w:val="22"/>
        </w:rPr>
        <w:t xml:space="preserve">What antimicrobial prophylaxis protocol (antiviral, antifungal, PJP) will be used?</w:t>
      </w:r>
    </w:p>
    <w:p>
      <w:pPr>
        <w:pStyle w:val="Heading2"/>
        <w:spacing w:after="120" w:before="320"/>
      </w:pPr>
      <w:r>
        <w:rPr>
          <w:rFonts w:ascii="Arial" w:cs="Arial" w:eastAsia="Arial" w:hAnsi="Arial"/>
          <w:b/>
          <w:bCs/>
          <w:color w:val="2E5FA3"/>
          <w:sz w:val="32"/>
          <w:szCs w:val="32"/>
        </w:rPr>
        <w:t xml:space="preserve">On Renal Function</w:t>
      </w:r>
    </w:p>
    <w:p>
      <w:pPr>
        <w:pStyle w:val="ListParagraph"/>
        <w:numPr>
          <w:ilvl w:val="0"/>
          <w:numId w:val="2"/>
        </w:numPr>
        <w:spacing w:after="40" w:before="40"/>
      </w:pPr>
      <w:r>
        <w:rPr>
          <w:rFonts w:ascii="Arial" w:cs="Arial" w:eastAsia="Arial" w:hAnsi="Arial"/>
          <w:sz w:val="22"/>
          <w:szCs w:val="22"/>
        </w:rPr>
        <w:t xml:space="preserve">Should I be seen by a nephrologist to explore whether eGFR can be stabilized or improved through hydration/medication adjustment?</w:t>
      </w:r>
    </w:p>
    <w:p>
      <w:pPr>
        <w:pStyle w:val="ListParagraph"/>
        <w:numPr>
          <w:ilvl w:val="0"/>
          <w:numId w:val="2"/>
        </w:numPr>
        <w:spacing w:after="40" w:before="40"/>
      </w:pPr>
      <w:r>
        <w:rPr>
          <w:rFonts w:ascii="Arial" w:cs="Arial" w:eastAsia="Arial" w:hAnsi="Arial"/>
          <w:sz w:val="22"/>
          <w:szCs w:val="22"/>
        </w:rPr>
        <w:t xml:space="preserve">Should Zoledronic acid be replaced with Denosumab given CKD G3b?</w:t>
      </w:r>
    </w:p>
    <w:p>
      <w:pPr>
        <w:pStyle w:val="ListParagraph"/>
        <w:numPr>
          <w:ilvl w:val="0"/>
          <w:numId w:val="2"/>
        </w:numPr>
        <w:spacing w:after="40" w:before="40"/>
      </w:pPr>
      <w:r>
        <w:rPr>
          <w:rFonts w:ascii="Arial" w:cs="Arial" w:eastAsia="Arial" w:hAnsi="Arial"/>
          <w:sz w:val="22"/>
          <w:szCs w:val="22"/>
        </w:rPr>
        <w:t xml:space="preserve">Should current monthly Daratumumab be continued, modified, or transitioned?</w:t>
      </w:r>
    </w:p>
    <w:p>
      <w:pPr>
        <w:pStyle w:val="Heading2"/>
        <w:spacing w:after="120" w:before="320"/>
      </w:pPr>
      <w:r>
        <w:rPr>
          <w:rFonts w:ascii="Arial" w:cs="Arial" w:eastAsia="Arial" w:hAnsi="Arial"/>
          <w:b/>
          <w:bCs/>
          <w:color w:val="2E5FA3"/>
          <w:sz w:val="32"/>
          <w:szCs w:val="32"/>
        </w:rPr>
        <w:t xml:space="preserve">On Cytogenetics / Additional Testing</w:t>
      </w:r>
    </w:p>
    <w:p>
      <w:pPr>
        <w:pStyle w:val="ListParagraph"/>
        <w:numPr>
          <w:ilvl w:val="0"/>
          <w:numId w:val="2"/>
        </w:numPr>
        <w:spacing w:after="40" w:before="40"/>
      </w:pPr>
      <w:r>
        <w:rPr>
          <w:rFonts w:ascii="Arial" w:cs="Arial" w:eastAsia="Arial" w:hAnsi="Arial"/>
          <w:sz w:val="22"/>
          <w:szCs w:val="22"/>
        </w:rPr>
        <w:t xml:space="preserve">Should FISH cytogenetics be repeated at relapse? 1q21 amplification (≥4 copies) is a distinct risk category from gain (3 copies) — was the exact copy number documented?</w:t>
      </w:r>
    </w:p>
    <w:p>
      <w:pPr>
        <w:pStyle w:val="ListParagraph"/>
        <w:numPr>
          <w:ilvl w:val="0"/>
          <w:numId w:val="2"/>
        </w:numPr>
        <w:spacing w:after="40" w:before="40"/>
      </w:pPr>
      <w:r>
        <w:rPr>
          <w:rFonts w:ascii="Arial" w:cs="Arial" w:eastAsia="Arial" w:hAnsi="Arial"/>
          <w:sz w:val="22"/>
          <w:szCs w:val="22"/>
        </w:rPr>
        <w:t xml:space="preserve">Should next-generation sequencing (NGS) / whole exome sequencing be done to identify any acquired mutations (e.g., KRAS, NRAS, BRAF) that could guide targeted therapy or trial eligibility?</w:t>
      </w:r>
    </w:p>
    <w:p>
      <w:pPr>
        <w:spacing w:after="0" w:before="80"/>
      </w:pPr>
      <w:r>
        <w:t xml:space="preserve"/>
      </w:r>
    </w:p>
    <w:p>
      <w:r>
        <w:br w:type="page"/>
      </w:r>
    </w:p>
    <w:p>
      <w:pPr>
        <w:pStyle w:val="Heading1"/>
        <w:spacing w:after="120" w:before="320"/>
      </w:pPr>
      <w:r>
        <w:rPr>
          <w:rFonts w:ascii="Arial" w:cs="Arial" w:eastAsia="Arial" w:hAnsi="Arial"/>
          <w:b/>
          <w:bCs/>
          <w:color w:val="1F3864"/>
          <w:sz w:val="40"/>
          <w:szCs w:val="40"/>
        </w:rPr>
        <w:t xml:space="preserve">SECTION 10: CITATIONS &amp; REFERENCES</w:t>
      </w:r>
    </w:p>
    <w:p>
      <w:pPr>
        <w:pStyle w:val="Heading2"/>
        <w:spacing w:after="120" w:before="320"/>
      </w:pPr>
      <w:r>
        <w:rPr>
          <w:rFonts w:ascii="Arial" w:cs="Arial" w:eastAsia="Arial" w:hAnsi="Arial"/>
          <w:b/>
          <w:bCs/>
          <w:color w:val="2E5FA3"/>
          <w:sz w:val="32"/>
          <w:szCs w:val="32"/>
        </w:rPr>
        <w:t xml:space="preserve">CAR-T Therapy</w:t>
      </w:r>
    </w:p>
    <w:p>
      <w:pPr>
        <w:spacing w:after="80" w:before="60"/>
      </w:pPr>
      <w:r>
        <w:rPr>
          <w:rFonts w:ascii="Arial" w:cs="Arial" w:eastAsia="Arial" w:hAnsi="Arial"/>
          <w:sz w:val="22"/>
          <w:szCs w:val="22"/>
        </w:rPr>
        <w:t xml:space="preserve">1. Sidana S et al. Safety and efficacy of standard-of-care ciltacabtagene autoleucel for relapsed/refractory multiple myeloma. Blood. 2025;145(1):85. ASH Publications. [CARTITUDE real-world, renal impairment subgroup]</w:t>
      </w:r>
    </w:p>
    <w:p>
      <w:pPr>
        <w:spacing w:after="80" w:before="60"/>
      </w:pPr>
      <w:r>
        <w:rPr>
          <w:rFonts w:ascii="Arial" w:cs="Arial" w:eastAsia="Arial" w:hAnsi="Arial"/>
          <w:sz w:val="22"/>
          <w:szCs w:val="22"/>
        </w:rPr>
        <w:t xml:space="preserve">2. San-Miguel J et al. Cilta-cel or Standard Care in Lenalidomide-Refractory Multiple Myeloma (CARTITUDE-4). NEJM. 2023. FDA approval April 2024.</w:t>
      </w:r>
    </w:p>
    <w:p>
      <w:pPr>
        <w:spacing w:after="80" w:before="60"/>
      </w:pPr>
      <w:r>
        <w:rPr>
          <w:rFonts w:ascii="Arial" w:cs="Arial" w:eastAsia="Arial" w:hAnsi="Arial"/>
          <w:sz w:val="22"/>
          <w:szCs w:val="22"/>
        </w:rPr>
        <w:t xml:space="preserve">3. Broadening CAR-T access: lessons from real-world implementation of talicabtagene autoleucel in India. Blood Immunology &amp; Cellular Therapy. ASH 2025;2(1):100026. [India tali-cel experience]</w:t>
      </w:r>
    </w:p>
    <w:p>
      <w:pPr>
        <w:spacing w:after="80" w:before="60"/>
      </w:pPr>
      <w:r>
        <w:rPr>
          <w:rFonts w:ascii="Arial" w:cs="Arial" w:eastAsia="Arial" w:hAnsi="Arial"/>
          <w:sz w:val="22"/>
          <w:szCs w:val="22"/>
        </w:rPr>
        <w:t xml:space="preserve">4. ASH 2025: CAR T cell therapy shows promising Phase II trial results in multiple myeloma (anito-cel). UT MD Anderson newsroom, December 2025.</w:t>
      </w:r>
    </w:p>
    <w:p>
      <w:pPr>
        <w:pStyle w:val="Heading2"/>
        <w:spacing w:after="120" w:before="320"/>
      </w:pPr>
      <w:r>
        <w:rPr>
          <w:rFonts w:ascii="Arial" w:cs="Arial" w:eastAsia="Arial" w:hAnsi="Arial"/>
          <w:b/>
          <w:bCs/>
          <w:color w:val="2E5FA3"/>
          <w:sz w:val="32"/>
          <w:szCs w:val="32"/>
        </w:rPr>
        <w:t xml:space="preserve">Bispecific Antibodies — Teclistamab</w:t>
      </w:r>
    </w:p>
    <w:p>
      <w:pPr>
        <w:spacing w:after="80" w:before="60"/>
      </w:pPr>
      <w:r>
        <w:rPr>
          <w:rFonts w:ascii="Arial" w:cs="Arial" w:eastAsia="Arial" w:hAnsi="Arial"/>
          <w:sz w:val="22"/>
          <w:szCs w:val="22"/>
        </w:rPr>
        <w:t xml:space="preserve">5. Teclistamab plus Daratumumab in Relapsed or Refractory Multiple Myeloma (MajesTEC-3). NEJM. January 2026. DOI: 10.1056/NEJMoa2514663. [Landmark phase 3 trial — 83.4% 36-month PFS]</w:t>
      </w:r>
    </w:p>
    <w:p>
      <w:pPr>
        <w:spacing w:after="80" w:before="60"/>
      </w:pPr>
      <w:r>
        <w:rPr>
          <w:rFonts w:ascii="Arial" w:cs="Arial" w:eastAsia="Arial" w:hAnsi="Arial"/>
          <w:sz w:val="22"/>
          <w:szCs w:val="22"/>
        </w:rPr>
        <w:t xml:space="preserve">6. Teclistamab in Relapsed or Refractory Multiple Myeloma (MajesTEC-1). NEJM. 2022. DOI: 10.1056/NEJMoa2203478.</w:t>
      </w:r>
    </w:p>
    <w:p>
      <w:pPr>
        <w:spacing w:after="80" w:before="60"/>
      </w:pPr>
      <w:r>
        <w:rPr>
          <w:rFonts w:ascii="Arial" w:cs="Arial" w:eastAsia="Arial" w:hAnsi="Arial"/>
          <w:sz w:val="22"/>
          <w:szCs w:val="22"/>
        </w:rPr>
        <w:t xml:space="preserve">7. Teclistamab for R/R MM: Efficacy, Safety, Resistance Mechanisms and Future Directions. PMC 2025 (PMC12811975). Tandfonline 2025.</w:t>
      </w:r>
    </w:p>
    <w:p>
      <w:pPr>
        <w:spacing w:after="80" w:before="60"/>
      </w:pPr>
      <w:r>
        <w:rPr>
          <w:rFonts w:ascii="Arial" w:cs="Arial" w:eastAsia="Arial" w:hAnsi="Arial"/>
          <w:sz w:val="22"/>
          <w:szCs w:val="22"/>
        </w:rPr>
        <w:t xml:space="preserve">8. ASH 2025 Highlights in RRMM. ASCO Post, February 2026.</w:t>
      </w:r>
    </w:p>
    <w:p>
      <w:pPr>
        <w:pStyle w:val="Heading2"/>
        <w:spacing w:after="120" w:before="320"/>
      </w:pPr>
      <w:r>
        <w:rPr>
          <w:rFonts w:ascii="Arial" w:cs="Arial" w:eastAsia="Arial" w:hAnsi="Arial"/>
          <w:b/>
          <w:bCs/>
          <w:color w:val="2E5FA3"/>
          <w:sz w:val="32"/>
          <w:szCs w:val="32"/>
        </w:rPr>
        <w:t xml:space="preserve">Bispecific Antibodies — Talquetamab</w:t>
      </w:r>
    </w:p>
    <w:p>
      <w:pPr>
        <w:spacing w:after="80" w:before="60"/>
      </w:pPr>
      <w:r>
        <w:rPr>
          <w:rFonts w:ascii="Arial" w:cs="Arial" w:eastAsia="Arial" w:hAnsi="Arial"/>
          <w:sz w:val="22"/>
          <w:szCs w:val="22"/>
        </w:rPr>
        <w:t xml:space="preserve">9. Talquetamab in relapsed refractory MM: multi-institutional real-world study. Blood Cancer Journal. Nature 2025. PMC12594773.</w:t>
      </w:r>
    </w:p>
    <w:p>
      <w:pPr>
        <w:spacing w:after="80" w:before="60"/>
      </w:pPr>
      <w:r>
        <w:rPr>
          <w:rFonts w:ascii="Arial" w:cs="Arial" w:eastAsia="Arial" w:hAnsi="Arial"/>
          <w:sz w:val="22"/>
          <w:szCs w:val="22"/>
        </w:rPr>
        <w:t xml:space="preserve">10. MonumenTAL-1: Safety and activity of talquetamab in RRMM. Lancet Haematology. 2025. PIIS2352-3026(24)00385-5.</w:t>
      </w:r>
    </w:p>
    <w:p>
      <w:pPr>
        <w:spacing w:after="80" w:before="60"/>
      </w:pPr>
      <w:r>
        <w:rPr>
          <w:rFonts w:ascii="Arial" w:cs="Arial" w:eastAsia="Arial" w:hAnsi="Arial"/>
          <w:sz w:val="22"/>
          <w:szCs w:val="22"/>
        </w:rPr>
        <w:t xml:space="preserve">11. Talquetamab plus daratumumab for RRMM in TRIMM-2 study. ScienceDirect 2025.</w:t>
      </w:r>
    </w:p>
    <w:p>
      <w:pPr>
        <w:spacing w:after="80" w:before="60"/>
      </w:pPr>
      <w:r>
        <w:rPr>
          <w:rFonts w:ascii="Arial" w:cs="Arial" w:eastAsia="Arial" w:hAnsi="Arial"/>
          <w:sz w:val="22"/>
          <w:szCs w:val="22"/>
        </w:rPr>
        <w:t xml:space="preserve">12. Sequential targeting in MM: talquetamab as bridge to BCMA CAR-T therapy. PubMed 2025 (PMID 40749169).</w:t>
      </w:r>
    </w:p>
    <w:p>
      <w:pPr>
        <w:pStyle w:val="Heading2"/>
        <w:spacing w:after="120" w:before="320"/>
      </w:pPr>
      <w:r>
        <w:rPr>
          <w:rFonts w:ascii="Arial" w:cs="Arial" w:eastAsia="Arial" w:hAnsi="Arial"/>
          <w:b/>
          <w:bCs/>
          <w:color w:val="2E5FA3"/>
          <w:sz w:val="32"/>
          <w:szCs w:val="32"/>
        </w:rPr>
        <w:t xml:space="preserve">CELMoDs — Mezigdomide</w:t>
      </w:r>
    </w:p>
    <w:p>
      <w:pPr>
        <w:spacing w:after="80" w:before="60"/>
      </w:pPr>
      <w:r>
        <w:rPr>
          <w:rFonts w:ascii="Arial" w:cs="Arial" w:eastAsia="Arial" w:hAnsi="Arial"/>
          <w:sz w:val="22"/>
          <w:szCs w:val="22"/>
        </w:rPr>
        <w:t xml:space="preserve">13. Mezigdomide plus Dexamethasone in Relapsed and Refractory Multiple Myeloma. NEJM. 2023. DOI: 10.1056/NEJMoa2303194.</w:t>
      </w:r>
    </w:p>
    <w:p>
      <w:pPr>
        <w:spacing w:after="80" w:before="60"/>
      </w:pPr>
      <w:r>
        <w:rPr>
          <w:rFonts w:ascii="Arial" w:cs="Arial" w:eastAsia="Arial" w:hAnsi="Arial"/>
          <w:sz w:val="22"/>
          <w:szCs w:val="22"/>
        </w:rPr>
        <w:t xml:space="preserve">14. CC-92480-MM-002 trial: Mezigdomide + Dara or Elotuzumab. ScienceDirect 2023.</w:t>
      </w:r>
    </w:p>
    <w:p>
      <w:pPr>
        <w:spacing w:after="80" w:before="60"/>
      </w:pPr>
      <w:r>
        <w:rPr>
          <w:rFonts w:ascii="Arial" w:cs="Arial" w:eastAsia="Arial" w:hAnsi="Arial"/>
          <w:sz w:val="22"/>
          <w:szCs w:val="22"/>
        </w:rPr>
        <w:t xml:space="preserve">15. Mezigdomide PMC Review: PMC10969776.</w:t>
      </w:r>
    </w:p>
    <w:p>
      <w:pPr>
        <w:pStyle w:val="Heading2"/>
        <w:spacing w:after="120" w:before="320"/>
      </w:pPr>
      <w:r>
        <w:rPr>
          <w:rFonts w:ascii="Arial" w:cs="Arial" w:eastAsia="Arial" w:hAnsi="Arial"/>
          <w:b/>
          <w:bCs/>
          <w:color w:val="2E5FA3"/>
          <w:sz w:val="32"/>
          <w:szCs w:val="32"/>
        </w:rPr>
        <w:t xml:space="preserve">Belantamab Mafodotin</w:t>
      </w:r>
    </w:p>
    <w:p>
      <w:pPr>
        <w:spacing w:after="80" w:before="60"/>
      </w:pPr>
      <w:r>
        <w:rPr>
          <w:rFonts w:ascii="Arial" w:cs="Arial" w:eastAsia="Arial" w:hAnsi="Arial"/>
          <w:sz w:val="22"/>
          <w:szCs w:val="22"/>
        </w:rPr>
        <w:t xml:space="preserve">16. FDA Approves Belantamab Mafodotin for R/R Multiple Myeloma (DREAMM-7). October 23, 2025. FDA.gov and OncLive.</w:t>
      </w:r>
    </w:p>
    <w:p>
      <w:pPr>
        <w:spacing w:after="80" w:before="60"/>
      </w:pPr>
      <w:r>
        <w:rPr>
          <w:rFonts w:ascii="Arial" w:cs="Arial" w:eastAsia="Arial" w:hAnsi="Arial"/>
          <w:sz w:val="22"/>
          <w:szCs w:val="22"/>
        </w:rPr>
        <w:t xml:space="preserve">17. Blenrep Returns With New FDA Approval in R/R Multiple Myeloma. Hematology Advisor 2025.</w:t>
      </w:r>
    </w:p>
    <w:p>
      <w:pPr>
        <w:pStyle w:val="Heading2"/>
        <w:spacing w:after="120" w:before="320"/>
      </w:pPr>
      <w:r>
        <w:rPr>
          <w:rFonts w:ascii="Arial" w:cs="Arial" w:eastAsia="Arial" w:hAnsi="Arial"/>
          <w:b/>
          <w:bCs/>
          <w:color w:val="2E5FA3"/>
          <w:sz w:val="32"/>
          <w:szCs w:val="32"/>
        </w:rPr>
        <w:t xml:space="preserve">Selinexor &amp; Renal Dosing</w:t>
      </w:r>
    </w:p>
    <w:p>
      <w:pPr>
        <w:spacing w:after="80" w:before="60"/>
      </w:pPr>
      <w:r>
        <w:rPr>
          <w:rFonts w:ascii="Arial" w:cs="Arial" w:eastAsia="Arial" w:hAnsi="Arial"/>
          <w:sz w:val="22"/>
          <w:szCs w:val="22"/>
        </w:rPr>
        <w:t xml:space="preserve">18. Lowering the Selinexor Dose within Pomalidomide and Dexamethasone Combination: fewer side effects, comparable efficacy. PubMed 2025 (PMID 40496494).</w:t>
      </w:r>
    </w:p>
    <w:p>
      <w:pPr>
        <w:spacing w:after="80" w:before="60"/>
      </w:pPr>
      <w:r>
        <w:rPr>
          <w:rFonts w:ascii="Arial" w:cs="Arial" w:eastAsia="Arial" w:hAnsi="Arial"/>
          <w:sz w:val="22"/>
          <w:szCs w:val="22"/>
        </w:rPr>
        <w:t xml:space="preserve">19. Pomalidomide Effective in Multiple Myeloma With Renal Impairment. OncLive.</w:t>
      </w:r>
    </w:p>
    <w:p>
      <w:pPr>
        <w:spacing w:after="80" w:before="60"/>
      </w:pPr>
      <w:r>
        <w:rPr>
          <w:rFonts w:ascii="Arial" w:cs="Arial" w:eastAsia="Arial" w:hAnsi="Arial"/>
          <w:sz w:val="22"/>
          <w:szCs w:val="22"/>
        </w:rPr>
        <w:t xml:space="preserve">20. Management of MM-related renal impairment: IMWG recommendations. Lancet Oncology. 2023. PIIS1470-2045(23)00223-1.</w:t>
      </w:r>
    </w:p>
    <w:p>
      <w:pPr>
        <w:pStyle w:val="Heading2"/>
        <w:spacing w:after="120" w:before="320"/>
      </w:pPr>
      <w:r>
        <w:rPr>
          <w:rFonts w:ascii="Arial" w:cs="Arial" w:eastAsia="Arial" w:hAnsi="Arial"/>
          <w:b/>
          <w:bCs/>
          <w:color w:val="2E5FA3"/>
          <w:sz w:val="32"/>
          <w:szCs w:val="32"/>
        </w:rPr>
        <w:t xml:space="preserve">Cytogenetics &amp; Carfilzomib</w:t>
      </w:r>
    </w:p>
    <w:p>
      <w:pPr>
        <w:spacing w:after="80" w:before="60"/>
      </w:pPr>
      <w:r>
        <w:rPr>
          <w:rFonts w:ascii="Arial" w:cs="Arial" w:eastAsia="Arial" w:hAnsi="Arial"/>
          <w:sz w:val="22"/>
          <w:szCs w:val="22"/>
        </w:rPr>
        <w:t xml:space="preserve">21. Alterations in chromosome 1q in multiple myeloma: systematic review. Blood Cancer Journal. Nature 2024.</w:t>
      </w:r>
    </w:p>
    <w:p>
      <w:pPr>
        <w:spacing w:after="80" w:before="60"/>
      </w:pPr>
      <w:r>
        <w:rPr>
          <w:rFonts w:ascii="Arial" w:cs="Arial" w:eastAsia="Arial" w:hAnsi="Arial"/>
          <w:sz w:val="22"/>
          <w:szCs w:val="22"/>
        </w:rPr>
        <w:t xml:space="preserve">22. The independent adverse prognostic significance of 1q21 gain/amplification in newly diagnosed MM. Frontiers in Oncology 2022.</w:t>
      </w:r>
    </w:p>
    <w:p>
      <w:pPr>
        <w:spacing w:after="80" w:before="60"/>
      </w:pPr>
      <w:r>
        <w:rPr>
          <w:rFonts w:ascii="Arial" w:cs="Arial" w:eastAsia="Arial" w:hAnsi="Arial"/>
          <w:sz w:val="22"/>
          <w:szCs w:val="22"/>
        </w:rPr>
        <w:t xml:space="preserve">23. Carfilzomib in MM patients with renal impairment: pharmacokinetics and safety. PMC3740399 / Leukemia 2013. Confirmed applicable for CKD.</w:t>
      </w:r>
    </w:p>
    <w:p>
      <w:pPr>
        <w:pStyle w:val="Heading2"/>
        <w:spacing w:after="120" w:before="320"/>
      </w:pPr>
      <w:r>
        <w:rPr>
          <w:rFonts w:ascii="Arial" w:cs="Arial" w:eastAsia="Arial" w:hAnsi="Arial"/>
          <w:b/>
          <w:bCs/>
          <w:color w:val="2E5FA3"/>
          <w:sz w:val="32"/>
          <w:szCs w:val="32"/>
        </w:rPr>
        <w:t xml:space="preserve">In Vivo CAR-T — Investigational</w:t>
      </w:r>
    </w:p>
    <w:p>
      <w:pPr>
        <w:spacing w:after="80" w:before="60"/>
      </w:pPr>
      <w:r>
        <w:rPr>
          <w:rFonts w:ascii="Arial" w:cs="Arial" w:eastAsia="Arial" w:hAnsi="Arial"/>
          <w:sz w:val="22"/>
          <w:szCs w:val="22"/>
        </w:rPr>
        <w:t xml:space="preserve">24. In-vivo B-cell maturation antigen CAR T-cell therapy for relapsed or refractory multiple myeloma (ESO-T01). The Lancet. June 2025. PIIS0140-6736(25)01030-X.</w:t>
      </w:r>
    </w:p>
    <w:p>
      <w:pPr>
        <w:spacing w:after="80" w:before="60"/>
      </w:pPr>
      <w:r>
        <w:rPr>
          <w:rFonts w:ascii="Arial" w:cs="Arial" w:eastAsia="Arial" w:hAnsi="Arial"/>
          <w:sz w:val="22"/>
          <w:szCs w:val="22"/>
        </w:rPr>
        <w:t xml:space="preserve">25. In vivo generation of anti-BCMA CAR-T cells in relapsed or refractory multiple myeloma: Phase 1 study (BMS-986393). Nature Medicine. 2026. PMC PMID 41882404.</w:t>
      </w:r>
    </w:p>
    <w:p>
      <w:pPr>
        <w:spacing w:after="0" w:before="80"/>
      </w:pPr>
      <w:r>
        <w:t xml:space="preserve"/>
      </w:r>
    </w:p>
    <w:p>
      <w:pPr>
        <w:pBdr>
          <w:bottom w:val="single" w:color="2E5FA3" w:sz="6"/>
        </w:pBdr>
        <w:spacing w:after="120" w:before="160"/>
      </w:pPr>
      <w:r>
        <w:t xml:space="preserve"/>
      </w:r>
    </w:p>
    <w:p>
      <w:pPr>
        <w:shd w:fill="F2F2F2" w:val="clear"/>
        <w:spacing w:after="80" w:before="120"/>
        <w:jc w:val="center"/>
      </w:pPr>
      <w:r>
        <w:rPr>
          <w:rFonts w:ascii="Arial" w:cs="Arial" w:eastAsia="Arial" w:hAnsi="Arial"/>
          <w:b/>
          <w:bCs/>
          <w:color w:val="1F3864"/>
          <w:sz w:val="22"/>
          <w:szCs w:val="22"/>
        </w:rPr>
        <w:t xml:space="preserve">IMPORTANT DISCLAIMER</w:t>
      </w:r>
    </w:p>
    <w:p>
      <w:pPr>
        <w:shd w:fill="F2F2F2" w:val="clear"/>
        <w:spacing w:after="120" w:before="40"/>
        <w:jc w:val="center"/>
      </w:pPr>
      <w:r>
        <w:rPr>
          <w:rFonts w:ascii="Arial" w:cs="Arial" w:eastAsia="Arial" w:hAnsi="Arial"/>
          <w:i/>
          <w:iCs/>
          <w:color w:val="555555"/>
          <w:sz w:val="18"/>
          <w:szCs w:val="18"/>
        </w:rPr>
        <w:t xml:space="preserve">This document is an evidence-based research analysis compiled for informational and educational purposes only. It is intended to facilitate an informed discussion with the patient's treating hematologist/oncologist and does not constitute medical advice, a clinical diagnosis, or a treatment prescription. All treatment decisions must be made by qualified physicians with full knowledge of the patient's current clinical status, comorbidities, laboratory values, and institutional capabilities. Drug availability, eligibility criteria, and clinical trial enrollment are subject to change. Information in this document reflects literature available through ASH 2025 and Nature Medicine February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spacing w:before="80"/>
    </w:pPr>
    <w:r>
      <w:rPr>
        <w:rFonts w:ascii="Arial" w:cs="Arial" w:eastAsia="Arial" w:hAnsi="Arial"/>
        <w:color w:val="888888"/>
        <w:sz w:val="16"/>
        <w:szCs w:val="16"/>
      </w:rPr>
      <w:t xml:space="preserve">For physician review only. Not a substitute for clinical judgment.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pBdr>
      <w:spacing w:after="100"/>
    </w:pPr>
    <w:r>
      <w:rPr>
        <w:rFonts w:ascii="Arial" w:cs="Arial" w:eastAsia="Arial" w:hAnsi="Arial"/>
        <w:color w:val="666666"/>
        <w:sz w:val="18"/>
        <w:szCs w:val="18"/>
      </w:rPr>
      <w:t xml:space="preserve">CONFIDENTIAL MEDICAL ANALYSIS  |  Vipan Kumar Garg  |  Multiple Myeloma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5FA3"/>
      <w:sz w:val="32"/>
      <w:szCs w:val="32"/>
    </w:rPr>
  </w:style>
  <w:style w:type="paragraph" w:styleId="Heading3">
    <w:name w:val="Heading 3"/>
    <w:basedOn w:val="Normal"/>
    <w:next w:val="Normal"/>
    <w:qFormat/>
    <w:pPr>
      <w:spacing w:after="100" w:before="200"/>
      <w:outlineLvl w:val="2"/>
    </w:pPr>
    <w:rPr>
      <w:rFonts w:ascii="Arial" w:cs="Arial" w:eastAsia="Arial" w:hAnsi="Arial"/>
      <w:b/>
      <w:bCs/>
      <w:color w:val="404040"/>
      <w:sz w:val="26"/>
      <w:szCs w:val="26"/>
    </w:rPr>
  </w:style>
  <w:style w:type="paragraph" w:styleId="Heading4">
    <w:name w:val="Heading 4"/>
    <w:basedOn w:val="Normal"/>
    <w:next w:val="Normal"/>
    <w:qFormat/>
    <w:pPr>
      <w:spacing w:after="80" w:before="160"/>
      <w:outlineLvl w:val="3"/>
    </w:pPr>
    <w:rPr>
      <w:rFonts w:ascii="Arial" w:cs="Arial" w:eastAsia="Arial" w:hAnsi="Arial"/>
      <w:b/>
      <w:bCs/>
      <w:color w:val="C55A1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2026-04-01T12:59:41.076Z</dcterms:created>
  <dcterms:modified xsi:type="dcterms:W3CDTF">2026-04-01T12:59:41.077Z</dcterms:modified>
</cp:coreProperties>
</file>

<file path=docProps/custom.xml><?xml version="1.0" encoding="utf-8"?>
<Properties xmlns="http://schemas.openxmlformats.org/officeDocument/2006/custom-properties" xmlns:vt="http://schemas.openxmlformats.org/officeDocument/2006/docPropsVTypes"/>
</file>