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rPr>
        <w:t>May 2026 history-gap correction: Google Drive review now documents the missing 2024-2025 bridge. After the February 2024 relapse and March 2024 CAR-T recommendation, no reviewed record confirms CAR-T was administered. The documented post-relapse regimen was 6 cycles of carfilzomib + daratumumab + zoledronic acid + pomalidomide until 04 Sep 2024, followed by severe AKI/anuria and kidney-biopsy context of post-carfilzomib thrombotic microangiopathy. From Jan 2025, maintenance daratumumab + pomalidomide is documented; on 21 Aug 2025 the patient received Cycle 20 Day 1 maintenance daratumumab plus denosumab, with pomalidomide continued.</w:t>
      </w:r>
    </w:p>
    <w:p>
      <w:pPr>
        <w:spacing w:after="80"/>
      </w:pPr>
      <w:r>
        <w:t xml:space="preserve"/>
      </w:r>
    </w:p>
    <w:p>
      <w:pPr>
        <w:spacing w:after="80"/>
      </w:pPr>
      <w:r>
        <w:t xml:space="preserve"/>
      </w:r>
    </w:p>
    <w:p>
      <w:pPr>
        <w:shd w:fill="1F3864" w:val="clear"/>
        <w:spacing w:after="0" w:before="0"/>
        <w:jc w:val="center"/>
      </w:pPr>
      <w:r>
        <w:rPr>
          <w:rFonts w:ascii="Arial" w:cs="Arial" w:eastAsia="Arial" w:hAnsi="Arial"/>
          <w:b/>
          <w:bCs/>
          <w:i w:val="false"/>
          <w:iCs w:val="false"/>
          <w:color w:val="FFFFFF"/>
          <w:sz w:val="52"/>
          <w:szCs w:val="52"/>
        </w:rPr>
        <w:t xml:space="preserve">SUPPLEMENTARY ANALYSIS</w:t>
      </w:r>
    </w:p>
    <w:p>
      <w:pPr>
        <w:shd w:fill="1F3864" w:val="clear"/>
        <w:spacing w:after="0" w:before="0"/>
        <w:jc w:val="center"/>
      </w:pPr>
      <w:r>
        <w:rPr>
          <w:rFonts w:ascii="Arial" w:cs="Arial" w:eastAsia="Arial" w:hAnsi="Arial"/>
          <w:b/>
          <w:bCs/>
          <w:i w:val="false"/>
          <w:iCs w:val="false"/>
          <w:color w:val="A8C8F0"/>
          <w:sz w:val="30"/>
          <w:szCs w:val="30"/>
        </w:rPr>
        <w:t xml:space="preserve">Bispecific Antibody Pathway vs CAR-T Therapy</w:t>
      </w:r>
    </w:p>
    <w:p>
      <w:pPr>
        <w:shd w:fill="1F3864" w:val="clear"/>
        <w:spacing w:after="300" w:before="0"/>
        <w:jc w:val="center"/>
      </w:pPr>
      <w:r>
        <w:rPr>
          <w:rFonts w:ascii="Arial" w:cs="Arial" w:eastAsia="Arial" w:hAnsi="Arial"/>
          <w:b w:val="false"/>
          <w:bCs w:val="false"/>
          <w:i/>
          <w:iCs/>
          <w:color w:val="D0E4F7"/>
          <w:sz w:val="26"/>
          <w:szCs w:val="26"/>
        </w:rPr>
        <w:t xml:space="preserve">Individualized PFS and OS Analysis — Vipan Kumar Garg</w:t>
      </w:r>
    </w:p>
    <w:p>
      <w:pPr>
        <w:spacing w:after="80"/>
      </w:pPr>
      <w:r>
        <w:t xml:space="preserve"/>
      </w:r>
    </w:p>
    <w:p>
      <w:pPr>
        <w:spacing w:after="80"/>
        <w:jc w:val="center"/>
      </w:pPr>
      <w:r>
        <w:rPr>
          <w:rFonts w:ascii="Arial" w:cs="Arial" w:eastAsia="Arial" w:hAnsi="Arial"/>
          <w:b/>
          <w:bCs/>
          <w:i w:val="false"/>
          <w:iCs w:val="false"/>
          <w:color w:val="1F3864"/>
          <w:sz w:val="26"/>
          <w:szCs w:val="26"/>
        </w:rPr>
        <w:t xml:space="preserve">Patient: Vipan Kumar Garg  |  Age: 69  |  IgG-Kappa Myeloma  |  April 2026</w:t>
      </w:r>
    </w:p>
    <w:p>
      <w:pPr>
        <w:spacing w:after="80"/>
        <w:jc w:val="center"/>
      </w:pPr>
      <w:r>
        <w:rPr>
          <w:rFonts w:ascii="Arial" w:cs="Arial" w:eastAsia="Arial" w:hAnsi="Arial"/>
          <w:b w:val="false"/>
          <w:bCs w:val="false"/>
          <w:i w:val="false"/>
          <w:iCs w:val="false"/>
          <w:color w:val="555555"/>
          <w:sz w:val="22"/>
          <w:szCs w:val="22"/>
        </w:rPr>
        <w:t xml:space="preserve">1 Prior Line (DaraVCD)  |  BCMA-Naive  |  Dara-Exposed  |  Bortezomib-Refractory  |  CKD G3b (eGFR 40)</w:t>
      </w:r>
    </w:p>
    <w:p>
      <w:pPr>
        <w:spacing w:after="80"/>
      </w:pPr>
      <w:r>
        <w:t xml:space="preserve"/>
      </w:r>
    </w:p>
    <w:p>
      <w:pPr>
        <w:pBdr>
          <w:top w:val="single" w:color="D9D9D9" w:sz="3"/>
        </w:pBdr>
        <w:spacing w:after="80" w:before="200"/>
        <w:jc w:val="center"/>
      </w:pPr>
      <w:r>
        <w:rPr>
          <w:rFonts w:ascii="Arial" w:cs="Arial" w:eastAsia="Arial" w:hAnsi="Arial"/>
          <w:b w:val="false"/>
          <w:bCs w:val="false"/>
          <w:i/>
          <w:iCs/>
          <w:color w:val="666666"/>
          <w:sz w:val="20"/>
          <w:szCs w:val="20"/>
        </w:rPr>
        <w:t xml:space="preserve">This document supplements the primary analysis. All data drawn from published trials and 2025-2026 real-world evidence, adjusted for this patient's specific clinical profile.</w:t>
      </w:r>
    </w:p>
    <w:p>
      <w:r>
        <w:br w:type="page"/>
      </w:r>
    </w:p>
    <w:p>
      <w:pPr>
        <w:pStyle w:val="Heading1"/>
        <w:shd w:fill="1F3864" w:val="clear"/>
        <w:spacing w:after="180" w:before="300"/>
        <w:ind w:left="200" w:right="200"/>
      </w:pPr>
      <w:r>
        <w:rPr>
          <w:rFonts w:ascii="Arial" w:cs="Arial" w:eastAsia="Arial" w:hAnsi="Arial"/>
          <w:b/>
          <w:bCs/>
          <w:i w:val="false"/>
          <w:iCs w:val="false"/>
          <w:color w:val="FFFFFF"/>
          <w:sz w:val="36"/>
          <w:szCs w:val="36"/>
        </w:rPr>
        <w:t xml:space="preserve">A.  The Three Bispecific Antibodies — What Each Offers This Patient</w:t>
      </w:r>
    </w:p>
    <w:p>
      <w:pPr>
        <w:spacing w:after="120"/>
      </w:pPr>
      <w:r>
        <w:rPr>
          <w:rFonts w:ascii="Arial" w:cs="Arial" w:eastAsia="Arial" w:hAnsi="Arial"/>
          <w:b w:val="false"/>
          <w:bCs w:val="false"/>
          <w:i w:val="false"/>
          <w:iCs w:val="false"/>
          <w:color w:val="000000"/>
          <w:sz w:val="22"/>
          <w:szCs w:val="22"/>
        </w:rPr>
        <w:t xml:space="preserve">Three bispecific T-cell engaging antibodies are now FDA-approved and relevant to this patient. They differ in their target antigens, side effect profiles, and optimal placement in the treatment sequence. Understanding each agent individually is essential before modeling what happens when they are used sequentially.</w:t>
      </w:r>
    </w:p>
    <w:p>
      <w:pPr>
        <w:spacing w:after="80"/>
      </w:pPr>
      <w:r>
        <w:t xml:space="preserve"/>
      </w:r>
    </w:p>
    <w:p>
      <w:pPr>
        <w:pStyle w:val="Heading3"/>
        <w:spacing w:after="100" w:before="180"/>
      </w:pPr>
      <w:r>
        <w:rPr>
          <w:rFonts w:ascii="Arial" w:cs="Arial" w:eastAsia="Arial" w:hAnsi="Arial"/>
          <w:b/>
          <w:bCs/>
          <w:i w:val="false"/>
          <w:iCs w:val="false"/>
          <w:color w:val="0D6655"/>
          <w:sz w:val="24"/>
          <w:szCs w:val="24"/>
        </w:rPr>
        <w:t xml:space="preserve">Agent 1 — Elranatamab (ELREXFIO) — BCMA × CD3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655" w:sz="4"/>
              <w:left w:val="single" w:color="0D6655" w:sz="4"/>
              <w:bottom w:val="single" w:color="0D6655" w:sz="4"/>
              <w:right w:val="single" w:color="0D6655" w:sz="4"/>
            </w:tcBorders>
            <w:shd w:fill="D1F2EB" w:val="clear"/>
            <w:tcMar>
              <w:top w:type="dxa" w:w="120"/>
              <w:left w:type="dxa" w:w="180"/>
              <w:bottom w:type="dxa" w:w="120"/>
              <w:right w:type="dxa" w:w="180"/>
            </w:tcMar>
          </w:tcPr>
          <w:p>
            <w:pPr>
              <w:spacing w:after="80"/>
            </w:pPr>
            <w:r>
              <w:rPr>
                <w:rFonts w:ascii="Arial" w:cs="Arial" w:eastAsia="Arial" w:hAnsi="Arial"/>
                <w:b/>
                <w:bCs/>
                <w:i w:val="false"/>
                <w:iCs w:val="false"/>
                <w:color w:val="0D6655"/>
                <w:sz w:val="22"/>
                <w:szCs w:val="22"/>
              </w:rPr>
              <w:t xml:space="preserve">Why Elranatamab Is Preferred Over Teclistamab for This Patient as Initial Bispecific</w:t>
            </w:r>
          </w:p>
          <w:p>
            <w:pPr>
              <w:spacing w:after="60"/>
            </w:pPr>
            <w:r>
              <w:rPr>
                <w:rFonts w:ascii="Arial" w:cs="Arial" w:eastAsia="Arial" w:hAnsi="Arial"/>
                <w:b w:val="false"/>
                <w:bCs w:val="false"/>
                <w:i w:val="false"/>
                <w:iCs w:val="false"/>
                <w:color w:val="0D6655"/>
                <w:sz w:val="20"/>
                <w:szCs w:val="20"/>
              </w:rPr>
              <w:t xml:space="preserve">Updated MagnetisMM-3 data (2024–2025) shows elranatamab has a longer median PFS (17.2 months) and median OS (24.6 months) than teclistamab monotherapy (median OS 21.9 months) across similar populations.</w:t>
            </w:r>
          </w:p>
          <w:p>
            <w:pPr>
              <w:spacing w:after="60"/>
            </w:pPr>
            <w:r>
              <w:rPr>
                <w:rFonts w:ascii="Arial" w:cs="Arial" w:eastAsia="Arial" w:hAnsi="Arial"/>
                <w:b w:val="false"/>
                <w:bCs w:val="false"/>
                <w:i w:val="false"/>
                <w:iCs w:val="false"/>
                <w:color w:val="0D6655"/>
                <w:sz w:val="20"/>
                <w:szCs w:val="20"/>
              </w:rPr>
              <w:t xml:space="preserve">Elranatamab has demonstrated durable complete responses — 37.4% of patients achieved complete response (CR) in MagnetisMM-3. CR is the most important predictor of durable remission.</w:t>
            </w:r>
          </w:p>
          <w:p>
            <w:pPr>
              <w:spacing w:after="60"/>
            </w:pPr>
            <w:r>
              <w:rPr>
                <w:rFonts w:ascii="Arial" w:cs="Arial" w:eastAsia="Arial" w:hAnsi="Arial"/>
                <w:b w:val="false"/>
                <w:bCs w:val="false"/>
                <w:i w:val="false"/>
                <w:iCs w:val="false"/>
                <w:color w:val="0D6655"/>
                <w:sz w:val="20"/>
                <w:szCs w:val="20"/>
              </w:rPr>
              <w:t xml:space="preserve">Dosing advantage: Every-other-week subcutaneous dosing after step-up. Less frequent than teclistamab's weekly dosing — better quality of life and reduced visit burden.</w:t>
            </w:r>
          </w:p>
          <w:p>
            <w:pPr>
              <w:spacing w:after="60"/>
            </w:pPr>
            <w:r>
              <w:rPr>
                <w:rFonts w:ascii="Arial" w:cs="Arial" w:eastAsia="Arial" w:hAnsi="Arial"/>
                <w:b w:val="false"/>
                <w:bCs w:val="false"/>
                <w:i w:val="false"/>
                <w:iCs w:val="false"/>
                <w:color w:val="0D6655"/>
                <w:sz w:val="20"/>
                <w:szCs w:val="20"/>
              </w:rPr>
              <w:t xml:space="preserve">Real-world data confirms activity in elderly, frail patients comparable to trial outcomes — directly relevant to this 69-year-old with comorbidities.</w:t>
            </w:r>
          </w:p>
          <w:p>
            <w:pPr>
              <w:spacing w:after="60"/>
            </w:pPr>
            <w:r>
              <w:rPr>
                <w:rFonts w:ascii="Arial" w:cs="Arial" w:eastAsia="Arial" w:hAnsi="Arial"/>
                <w:b w:val="false"/>
                <w:bCs w:val="false"/>
                <w:i w:val="false"/>
                <w:iCs w:val="false"/>
                <w:color w:val="0D6655"/>
                <w:sz w:val="20"/>
                <w:szCs w:val="20"/>
              </w:rPr>
              <w:t xml:space="preserve">NOTE: Elranatamab has been successfully administered to patients on dialysis (case reports, 2025). At eGFR 40, this patient is in a manageable range.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0D6655" w:sz="2"/>
              <w:left w:val="single" w:color="0D6655" w:sz="2"/>
              <w:bottom w:val="single" w:color="0D6655" w:sz="2"/>
              <w:right w:val="single" w:color="0D6655" w:sz="2"/>
            </w:tcBorders>
            <w:shd w:fill="0D6655"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Parameter</w:t>
            </w:r>
          </w:p>
        </w:tc>
        <w:tc>
          <w:tcPr>
            <w:tcW w:type="dxa" w:w="2400"/>
            <w:tcBorders>
              <w:top w:val="single" w:color="0D6655" w:sz="2"/>
              <w:left w:val="single" w:color="0D6655" w:sz="2"/>
              <w:bottom w:val="single" w:color="0D6655" w:sz="2"/>
              <w:right w:val="single" w:color="0D6655" w:sz="2"/>
            </w:tcBorders>
            <w:shd w:fill="0D6655"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MagnetisMM-3 Trial Data</w:t>
            </w:r>
          </w:p>
        </w:tc>
        <w:tc>
          <w:tcPr>
            <w:tcW w:type="dxa" w:w="2200"/>
            <w:tcBorders>
              <w:top w:val="single" w:color="0D6655" w:sz="2"/>
              <w:left w:val="single" w:color="0D6655" w:sz="2"/>
              <w:bottom w:val="single" w:color="0D6655" w:sz="2"/>
              <w:right w:val="single" w:color="0D6655" w:sz="2"/>
            </w:tcBorders>
            <w:shd w:fill="0D6655"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Adjusted Estimate for THIS Patient</w:t>
            </w:r>
          </w:p>
        </w:tc>
        <w:tc>
          <w:tcPr>
            <w:tcW w:type="dxa" w:w="2560"/>
            <w:tcBorders>
              <w:top w:val="single" w:color="0D6655" w:sz="2"/>
              <w:left w:val="single" w:color="0D6655" w:sz="2"/>
              <w:bottom w:val="single" w:color="0D6655" w:sz="2"/>
              <w:right w:val="single" w:color="0D6655" w:sz="2"/>
            </w:tcBorders>
            <w:shd w:fill="0D6655"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Rationale for Adjustment</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Population (prior lines)</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Median 3 prior lines; all triple-class exposed</w:t>
            </w:r>
          </w:p>
        </w:tc>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 prior line (DaraVCD + maint)</w:t>
            </w:r>
          </w:p>
        </w:tc>
        <w:tc>
          <w:tcPr>
            <w:tcW w:type="dxa" w:w="25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Patient has FAR fewer prior lines → better tumor biology, less resistant disease</w:t>
            </w:r>
          </w:p>
        </w:tc>
      </w:tr>
      <w:tr>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Overall Response Rate (ORR)</w:t>
            </w:r>
          </w:p>
        </w:tc>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61% (75/123 patients)</w:t>
            </w:r>
          </w:p>
        </w:tc>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65–70% estimated</w:t>
            </w:r>
          </w:p>
        </w:tc>
        <w:tc>
          <w:tcPr>
            <w:tcW w:type="dxa" w:w="25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 adjustment: fewer prior lines → less clonal heterogeneity and drug resistance</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Complete Response (CR) rate</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35%</w:t>
            </w:r>
          </w:p>
        </w:tc>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38–42% estimated</w:t>
            </w:r>
          </w:p>
        </w:tc>
        <w:tc>
          <w:tcPr>
            <w:tcW w:type="dxa" w:w="25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CR rates improve with fewer prior lines; important for durability</w:t>
            </w:r>
          </w:p>
        </w:tc>
      </w:tr>
      <w:tr>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Median Progression-Free Survival (PFS)</w:t>
            </w:r>
          </w:p>
        </w:tc>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17.2 months</w:t>
            </w:r>
          </w:p>
        </w:tc>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18–24 months estimated</w:t>
            </w:r>
          </w:p>
        </w:tc>
        <w:tc>
          <w:tcPr>
            <w:tcW w:type="dxa" w:w="25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+3–7 months: fewer prior lines advantage; −2 months adjustment for CKD G3b, cytopenias, age 69</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Median Overall Survival (OS) — all patients</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24.6 months</w:t>
            </w:r>
          </w:p>
        </w:tc>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26–32 months estimated</w:t>
            </w:r>
          </w:p>
        </w:tc>
        <w:tc>
          <w:tcPr>
            <w:tcW w:type="dxa" w:w="25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Upward adjustment for fewer prior lines; downward for CKD, immunoparesis, infection risk</w:t>
            </w:r>
          </w:p>
        </w:tc>
      </w:tr>
      <w:tr>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Median OS in ≤3 prior lines subgroup</w:t>
            </w:r>
          </w:p>
        </w:tc>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Not separately published for elranatamab; teclistamab ≤3 lines: 25.9 months</w:t>
            </w:r>
          </w:p>
        </w:tc>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28–34 months estimated for elranatamab in this patient</w:t>
            </w:r>
          </w:p>
        </w:tc>
        <w:tc>
          <w:tcPr>
            <w:tcW w:type="dxa" w:w="25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Extrapolating from teclistamab subgroup data plus elranatamab's PFS advantage</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2-year OS probability</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~55–60% in trial</w:t>
            </w:r>
          </w:p>
        </w:tc>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~55–65% estimated</w:t>
            </w:r>
          </w:p>
        </w:tc>
        <w:tc>
          <w:tcPr>
            <w:tcW w:type="dxa" w:w="25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Similar to trial but slightly uncertain given CKD G3b and severe immunoparesis</w:t>
            </w:r>
          </w:p>
        </w:tc>
      </w:tr>
      <w:tr>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Duration of response (if CR achieved)</w:t>
            </w:r>
          </w:p>
        </w:tc>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Sustained — some patients ongoing at 3+ years</w:t>
            </w:r>
          </w:p>
        </w:tc>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Potentially 36–48 months if CR achieved</w:t>
            </w:r>
          </w:p>
        </w:tc>
        <w:tc>
          <w:tcPr>
            <w:tcW w:type="dxa" w:w="25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CR patients in MagnetisMM-3 had sustained MRD-negative states</w:t>
            </w:r>
          </w:p>
        </w:tc>
      </w:tr>
    </w:tbl>
    <w:p>
      <w:pPr>
        <w:spacing w:after="80"/>
      </w:pPr>
      <w:r>
        <w:t xml:space="preserve"/>
      </w:r>
    </w:p>
    <w:p>
      <w:pPr>
        <w:pStyle w:val="Heading3"/>
        <w:spacing w:after="100" w:before="180"/>
      </w:pPr>
      <w:r>
        <w:rPr>
          <w:rFonts w:ascii="Arial" w:cs="Arial" w:eastAsia="Arial" w:hAnsi="Arial"/>
          <w:b/>
          <w:bCs/>
          <w:i w:val="false"/>
          <w:iCs w:val="false"/>
          <w:color w:val="2E5FA3"/>
          <w:sz w:val="24"/>
          <w:szCs w:val="24"/>
        </w:rPr>
        <w:t xml:space="preserve">Agent 2 — Teclistamab (TECVAYLI) — BCMA × CD3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2E5FA3" w:sz="2"/>
              <w:left w:val="single" w:color="2E5FA3" w:sz="2"/>
              <w:bottom w:val="single" w:color="2E5FA3" w:sz="2"/>
              <w:right w:val="single" w:color="2E5FA3" w:sz="2"/>
            </w:tcBorders>
            <w:shd w:fill="2E5FA3"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Parameter</w:t>
            </w:r>
          </w:p>
        </w:tc>
        <w:tc>
          <w:tcPr>
            <w:tcW w:type="dxa" w:w="2000"/>
            <w:tcBorders>
              <w:top w:val="single" w:color="2E5FA3" w:sz="2"/>
              <w:left w:val="single" w:color="2E5FA3" w:sz="2"/>
              <w:bottom w:val="single" w:color="2E5FA3" w:sz="2"/>
              <w:right w:val="single" w:color="2E5FA3" w:sz="2"/>
            </w:tcBorders>
            <w:shd w:fill="2E5FA3"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Trial Data (MajesTEC-1)</w:t>
            </w:r>
          </w:p>
        </w:tc>
        <w:tc>
          <w:tcPr>
            <w:tcW w:type="dxa" w:w="2400"/>
            <w:tcBorders>
              <w:top w:val="single" w:color="2E5FA3" w:sz="2"/>
              <w:left w:val="single" w:color="2E5FA3" w:sz="2"/>
              <w:bottom w:val="single" w:color="2E5FA3" w:sz="2"/>
              <w:right w:val="single" w:color="2E5FA3" w:sz="2"/>
            </w:tcBorders>
            <w:shd w:fill="2E5FA3"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MajesTEC-3 Combination Data (Tec+Dara)</w:t>
            </w:r>
          </w:p>
        </w:tc>
        <w:tc>
          <w:tcPr>
            <w:tcW w:type="dxa" w:w="2960"/>
            <w:tcBorders>
              <w:top w:val="single" w:color="2E5FA3" w:sz="2"/>
              <w:left w:val="single" w:color="2E5FA3" w:sz="2"/>
              <w:bottom w:val="single" w:color="2E5FA3" w:sz="2"/>
              <w:right w:val="single" w:color="2E5FA3" w:sz="2"/>
            </w:tcBorders>
            <w:shd w:fill="2E5FA3"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Relevance to This Patient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ORR (monotherapy)</w:t>
            </w:r>
          </w:p>
        </w:tc>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63%</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29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Slightly lower ORR vs elranatamab; either agent is appropriate</w:t>
            </w:r>
          </w:p>
        </w:tc>
      </w:tr>
      <w:tr>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Median OS — all patients</w:t>
            </w:r>
          </w:p>
        </w:tc>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21.9 months (22-month follow-up)</w:t>
            </w:r>
          </w:p>
        </w:tc>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29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Shorter than elranatamab monotherapy; however MajesTEC-3 combination is transformative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Median OS — ≤3 prior lines</w:t>
            </w:r>
          </w:p>
        </w:tc>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25.9 months (vs 17.7 months for &gt;3 lines)</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29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DIRECTLY APPLICABLE: Patient has 1 prior line → closer to this subgroup → expected OS ~25–30 months with monotherapy</w:t>
            </w:r>
          </w:p>
        </w:tc>
      </w:tr>
      <w:tr>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Teclistamab + Daratumumab (MajesTEC-3)</w:t>
            </w:r>
          </w:p>
        </w:tc>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Median PFS: NOT REACHED vs 18.1 months (SOC). 36-month OS: 83.3% vs 65%</w:t>
            </w:r>
          </w:p>
        </w:tc>
        <w:tc>
          <w:tcPr>
            <w:tcW w:type="dxa" w:w="29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GAME-CHANGER for this patient. MajesTEC-3 enrolled 1–3 prior lines — this patient QUALIFIES. Combination Tec+Dara is now the highest-evidence bispecific option.</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ORR (Tec+Dara combination)</w:t>
            </w:r>
          </w:p>
        </w:tc>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~88–90%</w:t>
            </w:r>
          </w:p>
        </w:tc>
        <w:tc>
          <w:tcPr>
            <w:tcW w:type="dxa" w:w="29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Extraordinary — daratumumab re-challenge in combination with BCMA bispecific produces synergistic responses</w:t>
            </w:r>
          </w:p>
        </w:tc>
      </w:tr>
      <w:tr>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3-year PFS (Tec+Dara)</w:t>
            </w:r>
          </w:p>
        </w:tc>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~83% of patients progression-free at 36 months</w:t>
            </w:r>
          </w:p>
        </w:tc>
        <w:tc>
          <w:tcPr>
            <w:tcW w:type="dxa" w:w="29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This approaches CAR-T territory. A 3-year PFS of 83% is landmark data for any relapsed myeloma therapy.</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Estimated OS for THIS patient with Tec+Dara</w:t>
            </w:r>
          </w:p>
        </w:tc>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36-month OS ~78–83% (adjusted from trial for CKD/age)</w:t>
            </w:r>
          </w:p>
        </w:tc>
        <w:tc>
          <w:tcPr>
            <w:tcW w:type="dxa" w:w="29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Applying modest downward adjustment for CKD G3b and immunoparesis vs trial population</w:t>
            </w:r>
          </w:p>
        </w:tc>
      </w:tr>
      <w:tr>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Renal PK</w:t>
            </w:r>
          </w:p>
        </w:tc>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eGFR &gt;40 in trial; real-world data in eGFR &lt;40 shows similar PK</w:t>
            </w:r>
          </w:p>
        </w:tc>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Same</w:t>
            </w:r>
          </w:p>
        </w:tc>
        <w:tc>
          <w:tcPr>
            <w:tcW w:type="dxa" w:w="29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This patient at eGFR exactly 40 — at the boundary. Requires nephrology monitoring but pharmacokinetically feasible.</w:t>
            </w:r>
          </w:p>
        </w:tc>
      </w:tr>
    </w:tbl>
    <w:p>
      <w:pPr>
        <w:spacing w:after="80"/>
      </w:pPr>
      <w:r>
        <w:t xml:space="preserve"/>
      </w:r>
    </w:p>
    <w:p>
      <w:pPr>
        <w:pStyle w:val="Heading3"/>
        <w:spacing w:after="100" w:before="180"/>
      </w:pPr>
      <w:r>
        <w:rPr>
          <w:rFonts w:ascii="Arial" w:cs="Arial" w:eastAsia="Arial" w:hAnsi="Arial"/>
          <w:b/>
          <w:bCs/>
          <w:i w:val="false"/>
          <w:iCs w:val="false"/>
          <w:color w:val="6C3483"/>
          <w:sz w:val="24"/>
          <w:szCs w:val="24"/>
        </w:rPr>
        <w:t xml:space="preserve">Agent 3 — Talquetamab (TALVEY) — GPRC5D × CD3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4"/>
              <w:left w:val="single" w:color="6C3483" w:sz="4"/>
              <w:bottom w:val="single" w:color="6C3483" w:sz="4"/>
              <w:right w:val="single" w:color="6C3483" w:sz="4"/>
            </w:tcBorders>
            <w:shd w:fill="EBE0F5" w:val="clear"/>
            <w:tcMar>
              <w:top w:type="dxa" w:w="120"/>
              <w:left w:type="dxa" w:w="180"/>
              <w:bottom w:type="dxa" w:w="120"/>
              <w:right w:type="dxa" w:w="180"/>
            </w:tcMar>
          </w:tcPr>
          <w:p>
            <w:pPr>
              <w:spacing w:after="80"/>
            </w:pPr>
            <w:r>
              <w:rPr>
                <w:rFonts w:ascii="Arial" w:cs="Arial" w:eastAsia="Arial" w:hAnsi="Arial"/>
                <w:b/>
                <w:bCs/>
                <w:i w:val="false"/>
                <w:iCs w:val="false"/>
                <w:color w:val="6C3483"/>
                <w:sz w:val="22"/>
                <w:szCs w:val="22"/>
              </w:rPr>
              <w:t xml:space="preserve">Critical Distinction: Talquetamab's Role Depends ENTIRELY on Sequence</w:t>
            </w:r>
          </w:p>
          <w:p>
            <w:pPr>
              <w:spacing w:after="60"/>
            </w:pPr>
            <w:r>
              <w:rPr>
                <w:rFonts w:ascii="Arial" w:cs="Arial" w:eastAsia="Arial" w:hAnsi="Arial"/>
                <w:b w:val="false"/>
                <w:bCs w:val="false"/>
                <w:i w:val="false"/>
                <w:iCs w:val="false"/>
                <w:color w:val="6C3483"/>
                <w:sz w:val="20"/>
                <w:szCs w:val="20"/>
              </w:rPr>
              <w:t xml:space="preserve">GPRC5D is a completely different target from BCMA — expressed independently on plasma cells. Loss of BCMA expression (which causes resistance to BCMA-directed therapies) does NOT affect GPRC5D expression.</w:t>
            </w:r>
          </w:p>
          <w:p>
            <w:pPr>
              <w:spacing w:after="60"/>
            </w:pPr>
            <w:r>
              <w:rPr>
                <w:rFonts w:ascii="Arial" w:cs="Arial" w:eastAsia="Arial" w:hAnsi="Arial"/>
                <w:b w:val="false"/>
                <w:bCs w:val="false"/>
                <w:i w:val="false"/>
                <w:iCs w:val="false"/>
                <w:color w:val="6C3483"/>
                <w:sz w:val="20"/>
                <w:szCs w:val="20"/>
              </w:rPr>
              <w:t xml:space="preserve">Talquetamab BEFORE BCMA therapy: ORR ~68-73% (MonumenTAL-1 trial; real-world 73%), median PFS 10-12.3 months — STRONG activity.</w:t>
            </w:r>
          </w:p>
          <w:p>
            <w:pPr>
              <w:spacing w:after="60"/>
            </w:pPr>
            <w:r>
              <w:rPr>
                <w:rFonts w:ascii="Arial" w:cs="Arial" w:eastAsia="Arial" w:hAnsi="Arial"/>
                <w:b w:val="false"/>
                <w:bCs w:val="false"/>
                <w:i w:val="false"/>
                <w:iCs w:val="false"/>
                <w:color w:val="6C3483"/>
                <w:sz w:val="20"/>
                <w:szCs w:val="20"/>
              </w:rPr>
              <w:t xml:space="preserve">Talquetamab AFTER BCMA bispecific therapy: ORR drops to ~58%, median PFS drops dramatically to 4.1 months — SIGNIFICANTLY INFERIOR.</w:t>
            </w:r>
          </w:p>
          <w:p>
            <w:pPr>
              <w:spacing w:after="60"/>
            </w:pPr>
            <w:r>
              <w:rPr>
                <w:rFonts w:ascii="Arial" w:cs="Arial" w:eastAsia="Arial" w:hAnsi="Arial"/>
                <w:b w:val="false"/>
                <w:bCs w:val="false"/>
                <w:i w:val="false"/>
                <w:iCs w:val="false"/>
                <w:color w:val="6C3483"/>
                <w:sz w:val="20"/>
                <w:szCs w:val="20"/>
              </w:rPr>
              <w:t xml:space="preserve">Talquetamab as BRIDGE to BCMA CAR-T: 71% response rate, then 88% respond to subsequent CAR-T. This is the MOST STRATEGIC use of talquetamab.</w:t>
            </w:r>
          </w:p>
          <w:p>
            <w:pPr>
              <w:spacing w:after="60"/>
            </w:pPr>
            <w:r>
              <w:rPr>
                <w:rFonts w:ascii="Arial" w:cs="Arial" w:eastAsia="Arial" w:hAnsi="Arial"/>
                <w:b w:val="false"/>
                <w:bCs w:val="false"/>
                <w:i w:val="false"/>
                <w:iCs w:val="false"/>
                <w:color w:val="6C3483"/>
                <w:sz w:val="20"/>
                <w:szCs w:val="20"/>
              </w:rPr>
              <w:t xml:space="preserve">CONCLUSION for this patient: Talquetamab works best FIRST (before BCMA exposure) or as a bridge to CAR-T, NOT after a BCMA bispecific.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500"/>
        <w:gridCol w:w="4360"/>
      </w:tblGrid>
      <w:tr>
        <w:trPr>
          <w:tblHeader/>
        </w:trPr>
        <w:tc>
          <w:tcPr>
            <w:tcW w:type="dxa" w:w="2500"/>
            <w:tcBorders>
              <w:top w:val="single" w:color="6C3483" w:sz="2"/>
              <w:left w:val="single" w:color="6C3483" w:sz="2"/>
              <w:bottom w:val="single" w:color="6C3483" w:sz="2"/>
              <w:right w:val="single" w:color="6C3483" w:sz="2"/>
            </w:tcBorders>
            <w:shd w:fill="6C3483"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Clinical Setting</w:t>
            </w:r>
          </w:p>
        </w:tc>
        <w:tc>
          <w:tcPr>
            <w:tcW w:type="dxa" w:w="1000"/>
            <w:tcBorders>
              <w:top w:val="single" w:color="6C3483" w:sz="2"/>
              <w:left w:val="single" w:color="6C3483" w:sz="2"/>
              <w:bottom w:val="single" w:color="6C3483" w:sz="2"/>
              <w:right w:val="single" w:color="6C3483" w:sz="2"/>
            </w:tcBorders>
            <w:shd w:fill="6C3483"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ORR</w:t>
            </w:r>
          </w:p>
        </w:tc>
        <w:tc>
          <w:tcPr>
            <w:tcW w:type="dxa" w:w="1500"/>
            <w:tcBorders>
              <w:top w:val="single" w:color="6C3483" w:sz="2"/>
              <w:left w:val="single" w:color="6C3483" w:sz="2"/>
              <w:bottom w:val="single" w:color="6C3483" w:sz="2"/>
              <w:right w:val="single" w:color="6C3483" w:sz="2"/>
            </w:tcBorders>
            <w:shd w:fill="6C3483"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Median PFS</w:t>
            </w:r>
          </w:p>
        </w:tc>
        <w:tc>
          <w:tcPr>
            <w:tcW w:type="dxa" w:w="4360"/>
            <w:tcBorders>
              <w:top w:val="single" w:color="6C3483" w:sz="2"/>
              <w:left w:val="single" w:color="6C3483" w:sz="2"/>
              <w:bottom w:val="single" w:color="6C3483" w:sz="2"/>
              <w:right w:val="single" w:color="6C3483" w:sz="2"/>
            </w:tcBorders>
            <w:shd w:fill="6C3483"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Clinical Implication for This Patient</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BCMA-naive (monotherapy, MonumenTAL-1)</w:t>
            </w:r>
          </w:p>
        </w:tc>
        <w:tc>
          <w:tcPr>
            <w:tcW w:type="dxa" w:w="1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68–73%</w:t>
            </w:r>
          </w:p>
        </w:tc>
        <w:tc>
          <w:tcPr>
            <w:tcW w:type="dxa" w:w="1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10–12.3 months</w:t>
            </w:r>
          </w:p>
        </w:tc>
        <w:tc>
          <w:tcPr>
            <w:tcW w:type="dxa" w:w="4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If used FIRST: good responses, but PFS is shorter than BCMA bispecifics. Better used as bridge to CAR-T.</w:t>
            </w:r>
          </w:p>
        </w:tc>
      </w:tr>
      <w:tr>
        <w:tc>
          <w:tcPr>
            <w:tcW w:type="dxa" w:w="2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Real-world monotherapy (2025, n=114)</w:t>
            </w:r>
          </w:p>
        </w:tc>
        <w:tc>
          <w:tcPr>
            <w:tcW w:type="dxa" w:w="1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73%</w:t>
            </w:r>
          </w:p>
        </w:tc>
        <w:tc>
          <w:tcPr>
            <w:tcW w:type="dxa" w:w="1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10 months (6-month OS 86%)</w:t>
            </w:r>
          </w:p>
        </w:tc>
        <w:tc>
          <w:tcPr>
            <w:tcW w:type="dxa" w:w="43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Real-world confirms trial efficacy. 6-month OS of 86% is encouraging.</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After BCMA bispecific antibody</w:t>
            </w:r>
          </w:p>
        </w:tc>
        <w:tc>
          <w:tcPr>
            <w:tcW w:type="dxa" w:w="1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58%</w:t>
            </w:r>
          </w:p>
        </w:tc>
        <w:tc>
          <w:tcPr>
            <w:tcW w:type="dxa" w:w="1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4.1 months</w:t>
            </w:r>
          </w:p>
        </w:tc>
        <w:tc>
          <w:tcPr>
            <w:tcW w:type="dxa" w:w="4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POOR OUTCOMES — talquetamab works weakly after BCMA bispecific. Avoid this sequence unless no alternative.</w:t>
            </w:r>
          </w:p>
        </w:tc>
      </w:tr>
      <w:tr>
        <w:tc>
          <w:tcPr>
            <w:tcW w:type="dxa" w:w="2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After BCMA CAR-T failure</w:t>
            </w:r>
          </w:p>
        </w:tc>
        <w:tc>
          <w:tcPr>
            <w:tcW w:type="dxa" w:w="1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72% (MonumenTAL-1 post-hoc)</w:t>
            </w:r>
          </w:p>
        </w:tc>
        <w:tc>
          <w:tcPr>
            <w:tcW w:type="dxa" w:w="1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~5–8 months</w:t>
            </w:r>
          </w:p>
        </w:tc>
        <w:tc>
          <w:tcPr>
            <w:tcW w:type="dxa" w:w="43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Moderate response after CAR-T failure — retains activity when BCMA is exhausted via a different modality</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As bridge to BCMA CAR-T (2025 data)</w:t>
            </w:r>
          </w:p>
        </w:tc>
        <w:tc>
          <w:tcPr>
            <w:tcW w:type="dxa" w:w="1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71% (bridging)</w:t>
            </w:r>
          </w:p>
        </w:tc>
        <w:tc>
          <w:tcPr>
            <w:tcW w:type="dxa" w:w="1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CAR-T response: 88% ORR, 54% CR</w:t>
            </w:r>
          </w:p>
        </w:tc>
        <w:tc>
          <w:tcPr>
            <w:tcW w:type="dxa" w:w="4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OPTIMAL USE: Talquetamab → CAR-T sequence produces the highest subsequent CAR-T response rates ever reported</w:t>
            </w:r>
          </w:p>
        </w:tc>
      </w:tr>
      <w:tr>
        <w:tc>
          <w:tcPr>
            <w:tcW w:type="dxa" w:w="2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Unique toxicity profile</w:t>
            </w:r>
          </w:p>
        </w:tc>
        <w:tc>
          <w:tcPr>
            <w:tcW w:type="dxa" w:w="1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43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Skin/nail changes (GPRC5D expressed in skin epithelium), dysgeusia (metallic taste), dry mouth, weight loss. Usually grade 1-2 but affects QoL. Important to counsel this patient.</w:t>
            </w:r>
          </w:p>
        </w:tc>
      </w:tr>
    </w:tbl>
    <w:p>
      <w:pPr>
        <w:spacing w:after="80"/>
      </w:pPr>
      <w:r>
        <w:t xml:space="preserve"/>
      </w:r>
    </w:p>
    <w:p>
      <w:r>
        <w:br w:type="page"/>
      </w:r>
    </w:p>
    <w:p>
      <w:pPr>
        <w:pStyle w:val="Heading1"/>
        <w:shd w:fill="1F3864" w:val="clear"/>
        <w:spacing w:after="180" w:before="300"/>
        <w:ind w:left="200" w:right="200"/>
      </w:pPr>
      <w:r>
        <w:rPr>
          <w:rFonts w:ascii="Arial" w:cs="Arial" w:eastAsia="Arial" w:hAnsi="Arial"/>
          <w:b/>
          <w:bCs/>
          <w:i w:val="false"/>
          <w:iCs w:val="false"/>
          <w:color w:val="FFFFFF"/>
          <w:sz w:val="36"/>
          <w:szCs w:val="36"/>
        </w:rPr>
        <w:t xml:space="preserve">B.  Bispecific-Only Pathway — Three Strategic Sequences Compared</w:t>
      </w:r>
    </w:p>
    <w:p>
      <w:pPr>
        <w:spacing w:after="120"/>
      </w:pPr>
      <w:r>
        <w:rPr>
          <w:rFonts w:ascii="Arial" w:cs="Arial" w:eastAsia="Arial" w:hAnsi="Arial"/>
          <w:b w:val="false"/>
          <w:bCs w:val="false"/>
          <w:i w:val="false"/>
          <w:iCs w:val="false"/>
          <w:color w:val="000000"/>
          <w:sz w:val="22"/>
          <w:szCs w:val="22"/>
        </w:rPr>
        <w:t xml:space="preserve">There are three credible ways to sequence these three agents for this patient. The pathway chosen has a dramatic impact on cumulative outcomes. The analysis below models each sequence individually, then calculates the overall PFS and OS for each.</w:t>
      </w:r>
    </w:p>
    <w:p>
      <w:pPr>
        <w:spacing w:after="80"/>
      </w:pPr>
      <w:r>
        <w:t xml:space="preserve"/>
      </w:r>
    </w:p>
    <w:p>
      <w:pPr>
        <w:pStyle w:val="Heading2"/>
        <w:pBdr>
          <w:bottom w:val="single" w:color="2E5FA3" w:sz="4"/>
        </w:pBdr>
        <w:spacing w:after="140" w:before="260"/>
      </w:pPr>
      <w:r>
        <w:rPr>
          <w:rFonts w:ascii="Arial" w:cs="Arial" w:eastAsia="Arial" w:hAnsi="Arial"/>
          <w:b/>
          <w:bCs/>
          <w:i w:val="false"/>
          <w:iCs w:val="false"/>
          <w:color w:val="1F3864"/>
          <w:sz w:val="28"/>
          <w:szCs w:val="28"/>
        </w:rPr>
        <w:t xml:space="preserve">Sequence 1 (RECOMMENDED): Elranatamab/Tec+Dara → Talquetamab → Salvage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4F7" w:val="clear"/>
            <w:tcMar>
              <w:top w:type="dxa" w:w="120"/>
              <w:left w:type="dxa" w:w="180"/>
              <w:bottom w:type="dxa" w:w="120"/>
              <w:right w:type="dxa" w:w="180"/>
            </w:tcMar>
          </w:tcPr>
          <w:p>
            <w:pPr>
              <w:spacing w:after="80"/>
            </w:pPr>
            <w:r>
              <w:rPr>
                <w:rFonts w:ascii="Arial" w:cs="Arial" w:eastAsia="Arial" w:hAnsi="Arial"/>
                <w:b/>
                <w:bCs/>
                <w:i w:val="false"/>
                <w:iCs w:val="false"/>
                <w:color w:val="1F3864"/>
                <w:sz w:val="22"/>
                <w:szCs w:val="22"/>
              </w:rPr>
              <w:t xml:space="preserve">Sequence 1 Logic</w:t>
            </w:r>
          </w:p>
          <w:p>
            <w:pPr>
              <w:spacing w:after="60"/>
            </w:pPr>
            <w:r>
              <w:rPr>
                <w:rFonts w:ascii="Arial" w:cs="Arial" w:eastAsia="Arial" w:hAnsi="Arial"/>
                <w:b w:val="false"/>
                <w:bCs w:val="false"/>
                <w:i w:val="false"/>
                <w:iCs w:val="false"/>
                <w:color w:val="1F3864"/>
                <w:sz w:val="20"/>
                <w:szCs w:val="20"/>
              </w:rPr>
              <w:t xml:space="preserve">Use the most powerful BCMA-directed bispecific FIRST (elranatamab monotherapy OR teclistamab+daratumumab combination).</w:t>
            </w:r>
          </w:p>
          <w:p>
            <w:pPr>
              <w:spacing w:after="60"/>
            </w:pPr>
            <w:r>
              <w:rPr>
                <w:rFonts w:ascii="Arial" w:cs="Arial" w:eastAsia="Arial" w:hAnsi="Arial"/>
                <w:b w:val="false"/>
                <w:bCs w:val="false"/>
                <w:i w:val="false"/>
                <w:iCs w:val="false"/>
                <w:color w:val="1F3864"/>
                <w:sz w:val="20"/>
                <w:szCs w:val="20"/>
              </w:rPr>
              <w:t xml:space="preserve">After BCMA bispecific failure, use talquetamab (GPRC5D) — response rate ~58%, PFS ~4.1 months.</w:t>
            </w:r>
          </w:p>
          <w:p>
            <w:pPr>
              <w:spacing w:after="60"/>
            </w:pPr>
            <w:r>
              <w:rPr>
                <w:rFonts w:ascii="Arial" w:cs="Arial" w:eastAsia="Arial" w:hAnsi="Arial"/>
                <w:b w:val="false"/>
                <w:bCs w:val="false"/>
                <w:i w:val="false"/>
                <w:iCs w:val="false"/>
                <w:color w:val="1F3864"/>
                <w:sz w:val="20"/>
                <w:szCs w:val="20"/>
              </w:rPr>
              <w:t xml:space="preserve">After talquetamab failure, limited options remain: pomalidomide-based salvage, selinexor, clinical trial.</w:t>
            </w:r>
          </w:p>
          <w:p>
            <w:pPr>
              <w:spacing w:after="60"/>
            </w:pPr>
            <w:r>
              <w:rPr>
                <w:rFonts w:ascii="Arial" w:cs="Arial" w:eastAsia="Arial" w:hAnsi="Arial"/>
                <w:b w:val="false"/>
                <w:bCs w:val="false"/>
                <w:i w:val="false"/>
                <w:iCs w:val="false"/>
                <w:color w:val="1F3864"/>
                <w:sz w:val="20"/>
                <w:szCs w:val="20"/>
              </w:rPr>
              <w:t xml:space="preserve">LIMITATION: Talquetamab post-BCMA bispecific produces only modest additional benefit (PFS 4.1 months), so the total PFS gain from adding talquetamab at this point is small.</w:t>
            </w:r>
          </w:p>
          <w:p>
            <w:pPr>
              <w:spacing w:after="60"/>
            </w:pPr>
            <w:r>
              <w:rPr>
                <w:rFonts w:ascii="Arial" w:cs="Arial" w:eastAsia="Arial" w:hAnsi="Arial"/>
                <w:b w:val="false"/>
                <w:bCs w:val="false"/>
                <w:i w:val="false"/>
                <w:iCs w:val="false"/>
                <w:color w:val="1F3864"/>
                <w:sz w:val="20"/>
                <w:szCs w:val="20"/>
              </w:rPr>
              <w:t xml:space="preserve">This is the conventional forward sequence — most commonly used in clinical practice.</w:t>
            </w:r>
          </w:p>
        </w:tc>
      </w:tr>
    </w:tbl>
    <w:p>
      <w:pPr>
        <w:spacing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000"/>
        <w:gridCol w:w="2200"/>
        <w:gridCol w:w="276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32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Agent</w:t>
            </w:r>
          </w:p>
        </w:tc>
        <w:tc>
          <w:tcPr>
            <w:tcW w:type="dxa" w:w="20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Expected ORR for THIS Patient</w:t>
            </w:r>
          </w:p>
        </w:tc>
        <w:tc>
          <w:tcPr>
            <w:tcW w:type="dxa" w:w="22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Expected Median PFS (This Patient)</w:t>
            </w:r>
          </w:p>
        </w:tc>
        <w:tc>
          <w:tcPr>
            <w:tcW w:type="dxa" w:w="276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Expected OS Contribution</w:t>
            </w:r>
          </w:p>
        </w:tc>
      </w:tr>
      <w:tr>
        <w:tc>
          <w:tcPr>
            <w:tcW w:type="dxa" w:w="1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Phase 1</w:t>
            </w:r>
          </w:p>
        </w:tc>
        <w:tc>
          <w:tcPr>
            <w:tcW w:type="dxa" w:w="3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Elranatamab monotherapy</w:t>
            </w:r>
          </w:p>
        </w:tc>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65–70%</w:t>
            </w:r>
          </w:p>
        </w:tc>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18–24 months</w:t>
            </w:r>
          </w:p>
        </w:tc>
        <w:tc>
          <w:tcPr>
            <w:tcW w:type="dxa" w:w="27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Accounts for 18–24 months of disease control</w:t>
            </w:r>
          </w:p>
        </w:tc>
      </w:tr>
      <w:tr>
        <w:tc>
          <w:tcPr>
            <w:tcW w:type="dxa" w:w="1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 — OR — </w:t>
            </w:r>
          </w:p>
        </w:tc>
        <w:tc>
          <w:tcPr>
            <w:tcW w:type="dxa" w:w="3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Teclistamab + Daratumumab (MajesTEC-3 regimen)</w:t>
            </w:r>
          </w:p>
        </w:tc>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88–90%</w:t>
            </w:r>
          </w:p>
        </w:tc>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NOT REACHED in trial (36-month PFS 83%)</w:t>
            </w:r>
          </w:p>
        </w:tc>
        <w:tc>
          <w:tcPr>
            <w:tcW w:type="dxa" w:w="27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Potentially 36+ months of disease control alone</w:t>
            </w:r>
          </w:p>
        </w:tc>
      </w:tr>
      <w:tr>
        <w:tc>
          <w:tcPr>
            <w:tcW w:type="dxa" w:w="1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Phase 2</w:t>
            </w:r>
          </w:p>
        </w:tc>
        <w:tc>
          <w:tcPr>
            <w:tcW w:type="dxa" w:w="3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Talquetamab (after BCMA bispecific)</w:t>
            </w:r>
          </w:p>
        </w:tc>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~55–60% (BCMA-exposed)</w:t>
            </w:r>
          </w:p>
        </w:tc>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~4–5 months</w:t>
            </w:r>
          </w:p>
        </w:tc>
        <w:tc>
          <w:tcPr>
            <w:tcW w:type="dxa" w:w="27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Adds only ~4–5 months of additional control</w:t>
            </w:r>
          </w:p>
        </w:tc>
      </w:tr>
      <w:tr>
        <w:tc>
          <w:tcPr>
            <w:tcW w:type="dxa" w:w="1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Phase 3</w:t>
            </w:r>
          </w:p>
        </w:tc>
        <w:tc>
          <w:tcPr>
            <w:tcW w:type="dxa" w:w="3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Salvage (DPd, selinexor, etc.)</w:t>
            </w:r>
          </w:p>
        </w:tc>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20–35%</w:t>
            </w:r>
          </w:p>
        </w:tc>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4–8 months</w:t>
            </w:r>
          </w:p>
        </w:tc>
        <w:tc>
          <w:tcPr>
            <w:tcW w:type="dxa" w:w="27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Adds 4–8 months in responders</w:t>
            </w:r>
          </w:p>
        </w:tc>
      </w:tr>
    </w:tbl>
    <w:p>
      <w:pPr>
        <w:spacing w:after="80"/>
      </w:pPr>
      <w:r>
        <w:t xml:space="preserve"/>
      </w:r>
    </w:p>
    <w:p>
      <w:pPr>
        <w:pStyle w:val="Heading3"/>
        <w:spacing w:after="100" w:before="180"/>
      </w:pPr>
      <w:r>
        <w:rPr>
          <w:rFonts w:ascii="Arial" w:cs="Arial" w:eastAsia="Arial" w:hAnsi="Arial"/>
          <w:b/>
          <w:bCs/>
          <w:i w:val="false"/>
          <w:iCs w:val="false"/>
          <w:color w:val="2E5FA3"/>
          <w:sz w:val="24"/>
          <w:szCs w:val="24"/>
        </w:rPr>
        <w:t xml:space="preserve">Sequence 1 — Cumulative PFS and Overall Survival for Vipan Kumar Garg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200"/>
        <w:gridCol w:w="1160"/>
      </w:tblGrid>
      <w:tr>
        <w:trPr>
          <w:tblHeader/>
        </w:trPr>
        <w:tc>
          <w:tcPr>
            <w:tcW w:type="dxa" w:w="3200"/>
            <w:tcBorders>
              <w:top w:val="single" w:color="0D6655" w:sz="2"/>
              <w:left w:val="single" w:color="0D6655" w:sz="2"/>
              <w:bottom w:val="single" w:color="0D6655" w:sz="2"/>
              <w:right w:val="single" w:color="0D6655" w:sz="2"/>
            </w:tcBorders>
            <w:shd w:fill="0D6655"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Metric</w:t>
            </w:r>
          </w:p>
        </w:tc>
        <w:tc>
          <w:tcPr>
            <w:tcW w:type="dxa" w:w="2800"/>
            <w:tcBorders>
              <w:top w:val="single" w:color="0D6655" w:sz="2"/>
              <w:left w:val="single" w:color="0D6655" w:sz="2"/>
              <w:bottom w:val="single" w:color="0D6655" w:sz="2"/>
              <w:right w:val="single" w:color="0D6655" w:sz="2"/>
            </w:tcBorders>
            <w:shd w:fill="0D6655"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With Elranatamab Monotherapy (Phase 1)</w:t>
            </w:r>
          </w:p>
        </w:tc>
        <w:tc>
          <w:tcPr>
            <w:tcW w:type="dxa" w:w="2200"/>
            <w:tcBorders>
              <w:top w:val="single" w:color="0D6655" w:sz="2"/>
              <w:left w:val="single" w:color="0D6655" w:sz="2"/>
              <w:bottom w:val="single" w:color="0D6655" w:sz="2"/>
              <w:right w:val="single" w:color="0D6655" w:sz="2"/>
            </w:tcBorders>
            <w:shd w:fill="0D6655"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With Tec+Dara Combination (Phase 1 — Best Option)</w:t>
            </w:r>
          </w:p>
        </w:tc>
        <w:tc>
          <w:tcPr>
            <w:tcW w:type="dxa" w:w="1160"/>
            <w:tcBorders>
              <w:top w:val="single" w:color="0D6655" w:sz="2"/>
              <w:left w:val="single" w:color="0D6655" w:sz="2"/>
              <w:bottom w:val="single" w:color="0D6655" w:sz="2"/>
              <w:right w:val="single" w:color="0D6655" w:sz="2"/>
            </w:tcBorders>
            <w:shd w:fill="0D6655"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Evidence Basis</w:t>
            </w:r>
          </w:p>
        </w:tc>
      </w:tr>
      <w:tr>
        <w:tc>
          <w:tcPr>
            <w:tcW w:type="dxa" w:w="3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Total time to 2nd progression (sum of Phase 1 + Phase 2)</w:t>
            </w:r>
          </w:p>
        </w:tc>
        <w:tc>
          <w:tcPr>
            <w:tcW w:type="dxa" w:w="28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~22–29 months (18–24 + 4–5)</w:t>
            </w:r>
          </w:p>
        </w:tc>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~40+ months (36+ + 4–5)</w:t>
            </w:r>
          </w:p>
        </w:tc>
        <w:tc>
          <w:tcPr>
            <w:tcW w:type="dxa" w:w="11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Direct addition of phase PFS estimates; real-world sequential data</w:t>
            </w:r>
          </w:p>
        </w:tc>
      </w:tr>
      <w:tr>
        <w:tc>
          <w:tcPr>
            <w:tcW w:type="dxa" w:w="3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Probability of responding to Phase 1 bispecific</w:t>
            </w:r>
          </w:p>
        </w:tc>
        <w:tc>
          <w:tcPr>
            <w:tcW w:type="dxa" w:w="28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~65–70%</w:t>
            </w:r>
          </w:p>
        </w:tc>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~88–90%</w:t>
            </w:r>
          </w:p>
        </w:tc>
        <w:tc>
          <w:tcPr>
            <w:tcW w:type="dxa" w:w="11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Adjusted from trial ORR for fewer prior lines</w:t>
            </w:r>
          </w:p>
        </w:tc>
      </w:tr>
      <w:tr>
        <w:tc>
          <w:tcPr>
            <w:tcW w:type="dxa" w:w="3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Probability of reaching Phase 2 (talquetamab)</w:t>
            </w:r>
          </w:p>
        </w:tc>
        <w:tc>
          <w:tcPr>
            <w:tcW w:type="dxa" w:w="28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~65% of patients make it to Phase 2</w:t>
            </w:r>
          </w:p>
        </w:tc>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~85–90% make it to Phase 2</w:t>
            </w:r>
          </w:p>
        </w:tc>
        <w:tc>
          <w:tcPr>
            <w:tcW w:type="dxa" w:w="11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Based on ORR (not all responders proceed; some die of infection or toxicity)</w:t>
            </w:r>
          </w:p>
        </w:tc>
      </w:tr>
      <w:tr>
        <w:tc>
          <w:tcPr>
            <w:tcW w:type="dxa" w:w="3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Median Overall Survival from start of bispecific</w:t>
            </w:r>
          </w:p>
        </w:tc>
        <w:tc>
          <w:tcPr>
            <w:tcW w:type="dxa" w:w="28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~28–34 months</w:t>
            </w:r>
          </w:p>
        </w:tc>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~40–50+ months</w:t>
            </w:r>
          </w:p>
        </w:tc>
        <w:tc>
          <w:tcPr>
            <w:tcW w:type="dxa" w:w="11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MagnetisMM-3 OS 24.6 months (heavier pretreatment) + upward adjustment; MajesTEC-3 36-month OS 83.3%</w:t>
            </w:r>
          </w:p>
        </w:tc>
      </w:tr>
      <w:tr>
        <w:tc>
          <w:tcPr>
            <w:tcW w:type="dxa" w:w="3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2-year OS probability</w:t>
            </w:r>
          </w:p>
        </w:tc>
        <w:tc>
          <w:tcPr>
            <w:tcW w:type="dxa" w:w="28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~55–62%</w:t>
            </w:r>
          </w:p>
        </w:tc>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~80–83%</w:t>
            </w:r>
          </w:p>
        </w:tc>
        <w:tc>
          <w:tcPr>
            <w:tcW w:type="dxa" w:w="11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Elranatamab trial 2-year OS ~55–60%; MajesTEC-3 extrapolated</w:t>
            </w:r>
          </w:p>
        </w:tc>
      </w:tr>
      <w:tr>
        <w:tc>
          <w:tcPr>
            <w:tcW w:type="dxa" w:w="3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3-year OS probability</w:t>
            </w:r>
          </w:p>
        </w:tc>
        <w:tc>
          <w:tcPr>
            <w:tcW w:type="dxa" w:w="28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~30–38%</w:t>
            </w:r>
          </w:p>
        </w:tc>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~70–78%</w:t>
            </w:r>
          </w:p>
        </w:tc>
        <w:tc>
          <w:tcPr>
            <w:tcW w:type="dxa" w:w="11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Elranatamab + subsequent talquetamab; MajesTEC-3 36-month OS 83% for Tec+Dara arm</w:t>
            </w:r>
          </w:p>
        </w:tc>
      </w:tr>
      <w:tr>
        <w:tc>
          <w:tcPr>
            <w:tcW w:type="dxa" w:w="3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5-year OS probability (bispecific-only path)</w:t>
            </w:r>
          </w:p>
        </w:tc>
        <w:tc>
          <w:tcPr>
            <w:tcW w:type="dxa" w:w="28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~15–22%</w:t>
            </w:r>
          </w:p>
        </w:tc>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~40–55% (if Tec+Dara long-term durability holds)</w:t>
            </w:r>
          </w:p>
        </w:tc>
        <w:tc>
          <w:tcPr>
            <w:tcW w:type="dxa" w:w="11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Limited long-term data; extrapolated from responder curves</w:t>
            </w:r>
          </w:p>
        </w:tc>
      </w:tr>
      <w:tr>
        <w:tc>
          <w:tcPr>
            <w:tcW w:type="dxa" w:w="3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Best-case OS (excellent responder — CR maintained long-term)</w:t>
            </w:r>
          </w:p>
        </w:tc>
        <w:tc>
          <w:tcPr>
            <w:tcW w:type="dxa" w:w="28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48–60 months</w:t>
            </w:r>
          </w:p>
        </w:tc>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60–72+ months</w:t>
            </w:r>
          </w:p>
        </w:tc>
        <w:tc>
          <w:tcPr>
            <w:tcW w:type="dxa" w:w="11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CR patients in MagnetisMM-3: ongoing at 3+ years; MajesTEC-3 not yet matured</w:t>
            </w:r>
          </w:p>
        </w:tc>
      </w:tr>
      <w:tr>
        <w:tc>
          <w:tcPr>
            <w:tcW w:type="dxa" w:w="3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Typical-case OS (partial responder to each sequential agent)</w:t>
            </w:r>
          </w:p>
        </w:tc>
        <w:tc>
          <w:tcPr>
            <w:tcW w:type="dxa" w:w="28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28–34 months</w:t>
            </w:r>
          </w:p>
        </w:tc>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42–52 months</w:t>
            </w:r>
          </w:p>
        </w:tc>
        <w:tc>
          <w:tcPr>
            <w:tcW w:type="dxa" w:w="11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Probability-weighted estimate for this specific patient</w:t>
            </w:r>
          </w:p>
        </w:tc>
      </w:tr>
      <w:tr>
        <w:tc>
          <w:tcPr>
            <w:tcW w:type="dxa" w:w="3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Worst-case OS (non-responder to Phase 1, dies of infection)</w:t>
            </w:r>
          </w:p>
        </w:tc>
        <w:tc>
          <w:tcPr>
            <w:tcW w:type="dxa" w:w="28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10–15 months</w:t>
            </w:r>
          </w:p>
        </w:tc>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15–20 months</w:t>
            </w:r>
          </w:p>
        </w:tc>
        <w:tc>
          <w:tcPr>
            <w:tcW w:type="dxa" w:w="11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~30–35% non-responders; infection is leading cause of death on bispecific therapy</w:t>
            </w:r>
          </w:p>
        </w:tc>
      </w:tr>
    </w:tbl>
    <w:p>
      <w:pPr>
        <w:spacing w:after="80"/>
      </w:pPr>
      <w:r>
        <w:t xml:space="preserve"/>
      </w:r>
    </w:p>
    <w:p>
      <w:pPr>
        <w:pStyle w:val="Heading2"/>
        <w:pBdr>
          <w:bottom w:val="single" w:color="2E5FA3" w:sz="4"/>
        </w:pBdr>
        <w:spacing w:after="140" w:before="260"/>
      </w:pPr>
      <w:r>
        <w:rPr>
          <w:rFonts w:ascii="Arial" w:cs="Arial" w:eastAsia="Arial" w:hAnsi="Arial"/>
          <w:b/>
          <w:bCs/>
          <w:i w:val="false"/>
          <w:iCs w:val="false"/>
          <w:color w:val="1F3864"/>
          <w:sz w:val="28"/>
          <w:szCs w:val="28"/>
        </w:rPr>
        <w:t xml:space="preserve">Sequence 2: Talquetamab FIRST → Elranatamab/Teclistamab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20"/>
              <w:left w:type="dxa" w:w="180"/>
              <w:bottom w:type="dxa" w:w="120"/>
              <w:right w:type="dxa" w:w="180"/>
            </w:tcMar>
          </w:tcPr>
          <w:p>
            <w:pPr>
              <w:spacing w:after="80"/>
            </w:pPr>
            <w:r>
              <w:rPr>
                <w:rFonts w:ascii="Arial" w:cs="Arial" w:eastAsia="Arial" w:hAnsi="Arial"/>
                <w:b/>
                <w:bCs/>
                <w:i w:val="false"/>
                <w:iCs w:val="false"/>
                <w:color w:val="7D5A00"/>
                <w:sz w:val="22"/>
                <w:szCs w:val="22"/>
              </w:rPr>
              <w:t xml:space="preserve">Sequence 2 Logic — Strategic GPRC5D-first approach</w:t>
            </w:r>
          </w:p>
          <w:p>
            <w:pPr>
              <w:spacing w:after="60"/>
            </w:pPr>
            <w:r>
              <w:rPr>
                <w:rFonts w:ascii="Arial" w:cs="Arial" w:eastAsia="Arial" w:hAnsi="Arial"/>
                <w:b w:val="false"/>
                <w:bCs w:val="false"/>
                <w:i w:val="false"/>
                <w:iCs w:val="false"/>
                <w:color w:val="7D5A00"/>
                <w:sz w:val="20"/>
                <w:szCs w:val="20"/>
              </w:rPr>
              <w:t xml:space="preserve">Use talquetamab (GPRC5D) first when BCMA is still fully intact, preserving BCMA-directed therapy for later.</w:t>
            </w:r>
          </w:p>
          <w:p>
            <w:pPr>
              <w:spacing w:after="60"/>
            </w:pPr>
            <w:r>
              <w:rPr>
                <w:rFonts w:ascii="Arial" w:cs="Arial" w:eastAsia="Arial" w:hAnsi="Arial"/>
                <w:b w:val="false"/>
                <w:bCs w:val="false"/>
                <w:i w:val="false"/>
                <w:iCs w:val="false"/>
                <w:color w:val="7D5A00"/>
                <w:sz w:val="20"/>
                <w:szCs w:val="20"/>
              </w:rPr>
              <w:t xml:space="preserve">The key advantage: BCMA expression is maximally preserved and intact for the second agent.</w:t>
            </w:r>
          </w:p>
          <w:p>
            <w:pPr>
              <w:spacing w:after="60"/>
            </w:pPr>
            <w:r>
              <w:rPr>
                <w:rFonts w:ascii="Arial" w:cs="Arial" w:eastAsia="Arial" w:hAnsi="Arial"/>
                <w:b w:val="false"/>
                <w:bCs w:val="false"/>
                <w:i w:val="false"/>
                <w:iCs w:val="false"/>
                <w:color w:val="7D5A00"/>
                <w:sz w:val="20"/>
                <w:szCs w:val="20"/>
              </w:rPr>
              <w:t xml:space="preserve">Elranatamab or teclistamab as second agent achieves BCMA-naïve response rates (~60–65%) — MUCH better than the 58% ORR seen after a prior BCMA bispecific in Sequence 1.</w:t>
            </w:r>
          </w:p>
          <w:p>
            <w:pPr>
              <w:spacing w:after="60"/>
            </w:pPr>
            <w:r>
              <w:rPr>
                <w:rFonts w:ascii="Arial" w:cs="Arial" w:eastAsia="Arial" w:hAnsi="Arial"/>
                <w:b w:val="false"/>
                <w:bCs w:val="false"/>
                <w:i w:val="false"/>
                <w:iCs w:val="false"/>
                <w:color w:val="7D5A00"/>
                <w:sz w:val="20"/>
                <w:szCs w:val="20"/>
              </w:rPr>
              <w:t xml:space="preserve">BUT: Talquetamab's median PFS as monotherapy is only 10–12.3 months (shorter than elranatamab's 17.2 months), so starting with talquetamab gives a shorter first phase.</w:t>
            </w:r>
          </w:p>
          <w:p>
            <w:pPr>
              <w:spacing w:after="60"/>
            </w:pPr>
            <w:r>
              <w:rPr>
                <w:rFonts w:ascii="Arial" w:cs="Arial" w:eastAsia="Arial" w:hAnsi="Arial"/>
                <w:b w:val="false"/>
                <w:bCs w:val="false"/>
                <w:i w:val="false"/>
                <w:iCs w:val="false"/>
                <w:color w:val="7D5A00"/>
                <w:sz w:val="20"/>
                <w:szCs w:val="20"/>
              </w:rPr>
              <w:t xml:space="preserve">CRITICAL ADVANTAGE of Sequence 2: BCMA bispecific as SECOND agent achieves MUCH stronger outcomes than talquetamab as second agent after BCMA.</w:t>
            </w:r>
          </w:p>
        </w:tc>
      </w:tr>
    </w:tbl>
    <w:p>
      <w:pPr>
        <w:spacing w:after="80"/>
      </w:pPr>
      <w: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500"/>
        <w:gridCol w:w="2000"/>
        <w:gridCol w:w="196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35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Agent</w:t>
            </w:r>
          </w:p>
        </w:tc>
        <w:tc>
          <w:tcPr>
            <w:tcW w:type="dxa" w:w="15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Expected ORR</w:t>
            </w:r>
          </w:p>
        </w:tc>
        <w:tc>
          <w:tcPr>
            <w:tcW w:type="dxa" w:w="20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Expected PFS</w:t>
            </w:r>
          </w:p>
        </w:tc>
        <w:tc>
          <w:tcPr>
            <w:tcW w:type="dxa" w:w="196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OS Contribution</w:t>
            </w:r>
          </w:p>
        </w:tc>
      </w:tr>
      <w:tr>
        <w:tc>
          <w:tcPr>
            <w:tcW w:type="dxa" w:w="1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Phase 1</w:t>
            </w:r>
          </w:p>
        </w:tc>
        <w:tc>
          <w:tcPr>
            <w:tcW w:type="dxa" w:w="3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Talquetamab (GPRC5D — BCMA intact)</w:t>
            </w:r>
          </w:p>
        </w:tc>
        <w:tc>
          <w:tcPr>
            <w:tcW w:type="dxa" w:w="1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~68–73%</w:t>
            </w:r>
          </w:p>
        </w:tc>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~10–13 months</w:t>
            </w:r>
          </w:p>
        </w:tc>
        <w:tc>
          <w:tcPr>
            <w:tcW w:type="dxa" w:w="19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10–13 months disease control</w:t>
            </w:r>
          </w:p>
        </w:tc>
      </w:tr>
      <w:tr>
        <w:tc>
          <w:tcPr>
            <w:tcW w:type="dxa" w:w="1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Phase 2</w:t>
            </w:r>
          </w:p>
        </w:tc>
        <w:tc>
          <w:tcPr>
            <w:tcW w:type="dxa" w:w="3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Elranatamab or Teclistamab (BCMA-naive — critical advantage)</w:t>
            </w:r>
          </w:p>
        </w:tc>
        <w:tc>
          <w:tcPr>
            <w:tcW w:type="dxa" w:w="1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~60–65% (BCMA-naive)</w:t>
            </w:r>
          </w:p>
        </w:tc>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~15–18 months (BCMA preserved = better than post-BCMA bispecific ORR)</w:t>
            </w:r>
          </w:p>
        </w:tc>
        <w:tc>
          <w:tcPr>
            <w:tcW w:type="dxa" w:w="19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15–18 months additional control</w:t>
            </w:r>
          </w:p>
        </w:tc>
      </w:tr>
      <w:tr>
        <w:tc>
          <w:tcPr>
            <w:tcW w:type="dxa" w:w="1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Phase 3</w:t>
            </w:r>
          </w:p>
        </w:tc>
        <w:tc>
          <w:tcPr>
            <w:tcW w:type="dxa" w:w="3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Salvage</w:t>
            </w:r>
          </w:p>
        </w:tc>
        <w:tc>
          <w:tcPr>
            <w:tcW w:type="dxa" w:w="1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~20–30%</w:t>
            </w:r>
          </w:p>
        </w:tc>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4–6 months</w:t>
            </w:r>
          </w:p>
        </w:tc>
        <w:tc>
          <w:tcPr>
            <w:tcW w:type="dxa" w:w="19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4–6 months in responders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Metric</w:t>
            </w:r>
          </w:p>
        </w:tc>
        <w:tc>
          <w:tcPr>
            <w:tcW w:type="dxa" w:w="24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Sequence 2 Estimate</w:t>
            </w:r>
          </w:p>
        </w:tc>
        <w:tc>
          <w:tcPr>
            <w:tcW w:type="dxa" w:w="24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vs Sequence 1 (Elranatamab first)</w:t>
            </w:r>
          </w:p>
        </w:tc>
        <w:tc>
          <w:tcPr>
            <w:tcW w:type="dxa" w:w="236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Verdict</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Total time to 2nd progression</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~25–31 months (13+18)</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~22–29 months (24+5)</w:t>
            </w:r>
          </w:p>
        </w:tc>
        <w:tc>
          <w:tcPr>
            <w:tcW w:type="dxa" w:w="2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Sequence 2 SLIGHTLY BETTER total sequential PFS</w:t>
            </w:r>
          </w:p>
        </w:tc>
      </w:tr>
      <w:tr>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Median OS from start</w:t>
            </w:r>
          </w:p>
        </w:tc>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~30–36 months</w:t>
            </w:r>
          </w:p>
        </w:tc>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~28–34 months (elranatamab mono)</w:t>
            </w:r>
          </w:p>
        </w:tc>
        <w:tc>
          <w:tcPr>
            <w:tcW w:type="dxa" w:w="23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Comparable — marginal Sequence 2 advantage</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2-year OS probability</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~55–65%</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~55–62%</w:t>
            </w:r>
          </w:p>
        </w:tc>
        <w:tc>
          <w:tcPr>
            <w:tcW w:type="dxa" w:w="2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Similar</w:t>
            </w:r>
          </w:p>
        </w:tc>
      </w:tr>
      <w:tr>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3-year OS probability</w:t>
            </w:r>
          </w:p>
        </w:tc>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~35–42%</w:t>
            </w:r>
          </w:p>
        </w:tc>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~30–38%</w:t>
            </w:r>
          </w:p>
        </w:tc>
        <w:tc>
          <w:tcPr>
            <w:tcW w:type="dxa" w:w="23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Sequence 2 marginally better</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Key trade-off</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First phase shorter (10–13 months). Requires tolerating skin/nail GPRC5D toxicity first.</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First phase longer (18–24 months). Better tolerated first.</w:t>
            </w:r>
          </w:p>
        </w:tc>
        <w:tc>
          <w:tcPr>
            <w:tcW w:type="dxa" w:w="2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For an older patient with CKD, Sequence 1 (BCMA first) is arguably more comfortable</w:t>
            </w:r>
          </w:p>
        </w:tc>
      </w:tr>
    </w:tbl>
    <w:p>
      <w:pPr>
        <w:spacing w:after="80"/>
      </w:pPr>
      <w:r>
        <w:t xml:space="preserve"/>
      </w:r>
    </w:p>
    <w:p>
      <w:pPr>
        <w:pStyle w:val="Heading2"/>
        <w:pBdr>
          <w:bottom w:val="single" w:color="2E5FA3" w:sz="4"/>
        </w:pBdr>
        <w:spacing w:after="140" w:before="260"/>
      </w:pPr>
      <w:r>
        <w:rPr>
          <w:rFonts w:ascii="Arial" w:cs="Arial" w:eastAsia="Arial" w:hAnsi="Arial"/>
          <w:b/>
          <w:bCs/>
          <w:i w:val="false"/>
          <w:iCs w:val="false"/>
          <w:color w:val="1F3864"/>
          <w:sz w:val="28"/>
          <w:szCs w:val="28"/>
        </w:rPr>
        <w:t xml:space="preserve">Sequence 3 (STRATEGICALLY SUPERIOR): Talquetamab as BRIDGE → Then BCMA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4"/>
              <w:left w:val="single" w:color="1D8348" w:sz="4"/>
              <w:bottom w:val="single" w:color="1D8348" w:sz="4"/>
              <w:right w:val="single" w:color="1D8348" w:sz="4"/>
            </w:tcBorders>
            <w:shd w:fill="D5F5E3" w:val="clear"/>
            <w:tcMar>
              <w:top w:type="dxa" w:w="120"/>
              <w:left w:type="dxa" w:w="180"/>
              <w:bottom w:type="dxa" w:w="120"/>
              <w:right w:type="dxa" w:w="180"/>
            </w:tcMar>
          </w:tcPr>
          <w:p>
            <w:pPr>
              <w:spacing w:after="80"/>
            </w:pPr>
            <w:r>
              <w:rPr>
                <w:rFonts w:ascii="Arial" w:cs="Arial" w:eastAsia="Arial" w:hAnsi="Arial"/>
                <w:b/>
                <w:bCs/>
                <w:i w:val="false"/>
                <w:iCs w:val="false"/>
                <w:color w:val="1D8348"/>
                <w:sz w:val="22"/>
                <w:szCs w:val="22"/>
              </w:rPr>
              <w:t xml:space="preserve">Sequence 3 Logic — The Talquetamab Bridge Strategy (2025 Evidence)</w:t>
            </w:r>
          </w:p>
          <w:p>
            <w:pPr>
              <w:spacing w:after="60"/>
            </w:pPr>
            <w:r>
              <w:rPr>
                <w:rFonts w:ascii="Arial" w:cs="Arial" w:eastAsia="Arial" w:hAnsi="Arial"/>
                <w:b w:val="false"/>
                <w:bCs w:val="false"/>
                <w:i w:val="false"/>
                <w:iCs w:val="false"/>
                <w:color w:val="1D8348"/>
                <w:sz w:val="20"/>
                <w:szCs w:val="20"/>
              </w:rPr>
              <w:t xml:space="preserve">Landmark 2025 data: Talquetamab used as a bridge to BCMA CAR-T produced remarkable outcomes. Talquetamab achieved 71% ORR as bridging therapy, then 88% of patients responded to subsequent BCMA CAR-T therapy (54% complete response).</w:t>
            </w:r>
          </w:p>
          <w:p>
            <w:pPr>
              <w:spacing w:after="60"/>
            </w:pPr>
            <w:r>
              <w:rPr>
                <w:rFonts w:ascii="Arial" w:cs="Arial" w:eastAsia="Arial" w:hAnsi="Arial"/>
                <w:b w:val="false"/>
                <w:bCs w:val="false"/>
                <w:i w:val="false"/>
                <w:iCs w:val="false"/>
                <w:color w:val="1D8348"/>
                <w:sz w:val="20"/>
                <w:szCs w:val="20"/>
              </w:rPr>
              <w:t xml:space="preserve">WHY this works: (1) Talquetamab reduces disease burden rapidly without touching BCMA expression. (2) Reduced tumor burden at the time of CAR-T infusion is one of the strongest predictors of CAR-T response depth. (3) BCMA remains fully expressed and intact for CAR-T.</w:t>
            </w:r>
          </w:p>
          <w:p>
            <w:pPr>
              <w:spacing w:after="60"/>
            </w:pPr>
            <w:r>
              <w:rPr>
                <w:rFonts w:ascii="Arial" w:cs="Arial" w:eastAsia="Arial" w:hAnsi="Arial"/>
                <w:b w:val="false"/>
                <w:bCs w:val="false"/>
                <w:i w:val="false"/>
                <w:iCs w:val="false"/>
                <w:color w:val="1D8348"/>
                <w:sz w:val="20"/>
                <w:szCs w:val="20"/>
              </w:rPr>
              <w:t xml:space="preserve">This strategy makes biological and practical sense: use talquetamab to bridge the patient to CAR-T while leukapheresis, manufacturing, and conditioning are arranged.</w:t>
            </w:r>
          </w:p>
          <w:p>
            <w:pPr>
              <w:spacing w:after="60"/>
            </w:pPr>
            <w:r>
              <w:rPr>
                <w:rFonts w:ascii="Arial" w:cs="Arial" w:eastAsia="Arial" w:hAnsi="Arial"/>
                <w:b w:val="false"/>
                <w:bCs w:val="false"/>
                <w:i w:val="false"/>
                <w:iCs w:val="false"/>
                <w:color w:val="1D8348"/>
                <w:sz w:val="20"/>
                <w:szCs w:val="20"/>
              </w:rPr>
              <w:t xml:space="preserve">IDEAL for this patient: If CAR-T is being arranged (in China, US, or India trial), use talquetamab as bridge therapy — it will likely IMPROVE the patient's CAR-T response.</w:t>
            </w:r>
          </w:p>
          <w:p>
            <w:pPr>
              <w:spacing w:after="60"/>
            </w:pPr>
            <w:r>
              <w:rPr>
                <w:rFonts w:ascii="Arial" w:cs="Arial" w:eastAsia="Arial" w:hAnsi="Arial"/>
                <w:b w:val="false"/>
                <w:bCs w:val="false"/>
                <w:i w:val="false"/>
                <w:iCs w:val="false"/>
                <w:color w:val="1D8348"/>
                <w:sz w:val="20"/>
                <w:szCs w:val="20"/>
              </w:rPr>
              <w:t xml:space="preserve">TIMELINE: Start talquetamab → arrange leukapheresis → manufacturing (4–6 weeks) → infuse CAR-T. Talquetamab median use in bridge series was only 23 days.</w:t>
            </w:r>
          </w:p>
        </w:tc>
      </w:tr>
    </w:tbl>
    <w:p>
      <w:pPr>
        <w:spacing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000"/>
        <w:gridCol w:w="2200"/>
        <w:gridCol w:w="2560"/>
      </w:tblGrid>
      <w:tr>
        <w:trPr>
          <w:tblHeader/>
        </w:trPr>
        <w:tc>
          <w:tcPr>
            <w:tcW w:type="dxa" w:w="14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32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Therapy</w:t>
            </w:r>
          </w:p>
        </w:tc>
        <w:tc>
          <w:tcPr>
            <w:tcW w:type="dxa" w:w="20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Expected ORR</w:t>
            </w:r>
          </w:p>
        </w:tc>
        <w:tc>
          <w:tcPr>
            <w:tcW w:type="dxa" w:w="22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Expected Duration</w:t>
            </w:r>
          </w:p>
        </w:tc>
        <w:tc>
          <w:tcPr>
            <w:tcW w:type="dxa" w:w="256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Key Outcome</w:t>
            </w:r>
          </w:p>
        </w:tc>
      </w:tr>
      <w:tr>
        <w:tc>
          <w:tcPr>
            <w:tcW w:type="dxa" w:w="1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Bridge phase</w:t>
            </w:r>
          </w:p>
        </w:tc>
        <w:tc>
          <w:tcPr>
            <w:tcW w:type="dxa" w:w="3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Talquetamab (2–8 weeks)</w:t>
            </w:r>
          </w:p>
        </w:tc>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71%</w:t>
            </w:r>
          </w:p>
        </w:tc>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Used only as bridge (not until progression)</w:t>
            </w:r>
          </w:p>
        </w:tc>
        <w:tc>
          <w:tcPr>
            <w:tcW w:type="dxa" w:w="25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Disease control while CAR-T is manufactured; improves patient condition for CAR-T</w:t>
            </w:r>
          </w:p>
        </w:tc>
      </w:tr>
      <w:tr>
        <w:tc>
          <w:tcPr>
            <w:tcW w:type="dxa" w:w="1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Definitive phase</w:t>
            </w:r>
          </w:p>
        </w:tc>
        <w:tc>
          <w:tcPr>
            <w:tcW w:type="dxa" w:w="3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Cilta-cel (BCMA CAR-T — BCMA-naive, low disease burden after talquetamab bridge)</w:t>
            </w:r>
          </w:p>
        </w:tc>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~90–95% (BCMA-naive + low disease burden = optimal CAR-T conditions)</w:t>
            </w:r>
          </w:p>
        </w:tc>
        <w:tc>
          <w:tcPr>
            <w:tcW w:type="dxa" w:w="2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PFS median: 28–36+ months (expected), potentially longer than CARTITUDE-1 given fewer prior lines</w:t>
            </w:r>
          </w:p>
        </w:tc>
        <w:tc>
          <w:tcPr>
            <w:tcW w:type="dxa" w:w="25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The strongest, most durable treatment outcome across all options</w:t>
            </w:r>
          </w:p>
        </w:tc>
      </w:tr>
      <w:tr>
        <w:tc>
          <w:tcPr>
            <w:tcW w:type="dxa" w:w="1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Phase 3 if CAR-T fails</w:t>
            </w:r>
          </w:p>
        </w:tc>
        <w:tc>
          <w:tcPr>
            <w:tcW w:type="dxa" w:w="3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Elranatamab/Teclistamab (BCMA still targetable in ~40% of post-CAR-T failures)</w:t>
            </w:r>
          </w:p>
        </w:tc>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~50–60% (post-CAR-T BCMA bispecific)</w:t>
            </w:r>
          </w:p>
        </w:tc>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~5–10 months additional</w:t>
            </w:r>
          </w:p>
        </w:tc>
        <w:tc>
          <w:tcPr>
            <w:tcW w:type="dxa" w:w="25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Bispecifics after CAR-T failure still show meaningful activity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1360"/>
      </w:tblGrid>
      <w:tr>
        <w:trPr>
          <w:tblHeader/>
        </w:trPr>
        <w:tc>
          <w:tcPr>
            <w:tcW w:type="dxa" w:w="2600"/>
            <w:tcBorders>
              <w:top w:val="single" w:color="1D8348" w:sz="2"/>
              <w:left w:val="single" w:color="1D8348" w:sz="2"/>
              <w:bottom w:val="single" w:color="1D8348" w:sz="2"/>
              <w:right w:val="single" w:color="1D8348" w:sz="2"/>
            </w:tcBorders>
            <w:shd w:fill="1D8348"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Metric</w:t>
            </w:r>
          </w:p>
        </w:tc>
        <w:tc>
          <w:tcPr>
            <w:tcW w:type="dxa" w:w="2800"/>
            <w:tcBorders>
              <w:top w:val="single" w:color="1D8348" w:sz="2"/>
              <w:left w:val="single" w:color="1D8348" w:sz="2"/>
              <w:bottom w:val="single" w:color="1D8348" w:sz="2"/>
              <w:right w:val="single" w:color="1D8348" w:sz="2"/>
            </w:tcBorders>
            <w:shd w:fill="1D8348"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Sequence 3 (Talquetamab bridge → CAR-T)</w:t>
            </w:r>
          </w:p>
        </w:tc>
        <w:tc>
          <w:tcPr>
            <w:tcW w:type="dxa" w:w="2600"/>
            <w:tcBorders>
              <w:top w:val="single" w:color="1D8348" w:sz="2"/>
              <w:left w:val="single" w:color="1D8348" w:sz="2"/>
              <w:bottom w:val="single" w:color="1D8348" w:sz="2"/>
              <w:right w:val="single" w:color="1D8348" w:sz="2"/>
            </w:tcBorders>
            <w:shd w:fill="1D8348"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Sequence 1 (Elranatamab → Talquetamab)</w:t>
            </w:r>
          </w:p>
        </w:tc>
        <w:tc>
          <w:tcPr>
            <w:tcW w:type="dxa" w:w="1360"/>
            <w:tcBorders>
              <w:top w:val="single" w:color="1D8348" w:sz="2"/>
              <w:left w:val="single" w:color="1D8348" w:sz="2"/>
              <w:bottom w:val="single" w:color="1D8348" w:sz="2"/>
              <w:right w:val="single" w:color="1D8348" w:sz="2"/>
            </w:tcBorders>
            <w:shd w:fill="1D8348"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Evidence Basis</w:t>
            </w:r>
          </w:p>
        </w:tc>
      </w:tr>
      <w:tr>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Total time to major progression</w:t>
            </w:r>
          </w:p>
        </w:tc>
        <w:tc>
          <w:tcPr>
            <w:tcW w:type="dxa" w:w="28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~48–72+ months (bridge ~2 months + CAR-T 36–48 months)</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~22–29 months</w:t>
            </w:r>
          </w:p>
        </w:tc>
        <w:tc>
          <w:tcPr>
            <w:tcW w:type="dxa" w:w="1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CARTITUDE-4: cilta-cel PFS not reached at 24 months; CARTITUDE-1: 5-year PFS 33%; talquetamab bridge data</w:t>
            </w:r>
          </w:p>
        </w:tc>
      </w:tr>
      <w:tr>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Median Overall Survival</w:t>
            </w:r>
          </w:p>
        </w:tc>
        <w:tc>
          <w:tcPr>
            <w:tcW w:type="dxa" w:w="28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~48–72 months (4–6 years)</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~28–34 months</w:t>
            </w:r>
          </w:p>
        </w:tc>
        <w:tc>
          <w:tcPr>
            <w:tcW w:type="dxa" w:w="13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CAR-T OS dramatically exceeds bispecific-only path in all comparative analyses</w:t>
            </w:r>
          </w:p>
        </w:tc>
      </w:tr>
      <w:tr>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2-year OS probability</w:t>
            </w:r>
          </w:p>
        </w:tc>
        <w:tc>
          <w:tcPr>
            <w:tcW w:type="dxa" w:w="28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~78–88%</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~55–62%</w:t>
            </w:r>
          </w:p>
        </w:tc>
        <w:tc>
          <w:tcPr>
            <w:tcW w:type="dxa" w:w="1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CAR-T: CARTITUDE-1 real-world 2-year OS ~78%; Cilta-cel CARTITUDE-4: PFS not reached</w:t>
            </w:r>
          </w:p>
        </w:tc>
      </w:tr>
      <w:tr>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3-year OS probability</w:t>
            </w:r>
          </w:p>
        </w:tc>
        <w:tc>
          <w:tcPr>
            <w:tcW w:type="dxa" w:w="28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~65–78%</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~30–38%</w:t>
            </w:r>
          </w:p>
        </w:tc>
        <w:tc>
          <w:tcPr>
            <w:tcW w:type="dxa" w:w="13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CAR-T dominates at 3 years — bispecific OS curves separate significantly beyond 24 months</w:t>
            </w:r>
          </w:p>
        </w:tc>
      </w:tr>
      <w:tr>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5-year OS probability</w:t>
            </w:r>
          </w:p>
        </w:tc>
        <w:tc>
          <w:tcPr>
            <w:tcW w:type="dxa" w:w="28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~40–55%</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~15–22%</w:t>
            </w:r>
          </w:p>
        </w:tc>
        <w:tc>
          <w:tcPr>
            <w:tcW w:type="dxa" w:w="1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CARTITUDE-1 5-year data: 33% PFS, OS still accruing; this patient fewer prior lines → potentially better</w:t>
            </w:r>
          </w:p>
        </w:tc>
      </w:tr>
      <w:tr>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MRD negativity depth</w:t>
            </w:r>
          </w:p>
        </w:tc>
        <w:tc>
          <w:tcPr>
            <w:tcW w:type="dxa" w:w="28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~40–60% sustained MRD-negative (CAR-T phase)</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~15–25% sustained MRD-negative (bispecific phase)</w:t>
            </w:r>
          </w:p>
        </w:tc>
        <w:tc>
          <w:tcPr>
            <w:tcW w:type="dxa" w:w="13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Depth of MRD negativity drives long-term durability</w:t>
            </w:r>
          </w:p>
        </w:tc>
      </w:tr>
    </w:tbl>
    <w:p>
      <w:pPr>
        <w:spacing w:after="80"/>
      </w:pPr>
      <w:r>
        <w:t xml:space="preserve"/>
      </w:r>
    </w:p>
    <w:p>
      <w:r>
        <w:br w:type="page"/>
      </w:r>
    </w:p>
    <w:p>
      <w:pPr>
        <w:pStyle w:val="Heading1"/>
        <w:shd w:fill="1F3864" w:val="clear"/>
        <w:spacing w:after="180" w:before="300"/>
        <w:ind w:left="200" w:right="200"/>
      </w:pPr>
      <w:r>
        <w:rPr>
          <w:rFonts w:ascii="Arial" w:cs="Arial" w:eastAsia="Arial" w:hAnsi="Arial"/>
          <w:b/>
          <w:bCs/>
          <w:i w:val="false"/>
          <w:iCs w:val="false"/>
          <w:color w:val="FFFFFF"/>
          <w:sz w:val="36"/>
          <w:szCs w:val="36"/>
        </w:rPr>
        <w:t xml:space="preserve">C.  Grand Comparison — All Pathways Side by Side for This Patient</w:t>
      </w:r>
    </w:p>
    <w:p>
      <w:pPr>
        <w:spacing w:after="120"/>
      </w:pPr>
      <w:r>
        <w:rPr>
          <w:rFonts w:ascii="Arial" w:cs="Arial" w:eastAsia="Arial" w:hAnsi="Arial"/>
          <w:b/>
          <w:bCs/>
          <w:i w:val="false"/>
          <w:iCs w:val="false"/>
          <w:color w:val="1F3864"/>
          <w:sz w:val="22"/>
          <w:szCs w:val="22"/>
        </w:rPr>
        <w:t xml:space="preserve">The table below provides a complete head-to-head comparison of every relevant treatment path for Vipan Kumar Garg based on his specific clinical profile, adjusted from the best available clinical trial and real-world evidence as of April 2026.</w:t>
      </w:r>
    </w:p>
    <w:p>
      <w:pPr>
        <w:spacing w:after="80"/>
      </w:pPr>
      <w:r>
        <w:t xml:space="preserve"/>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500"/>
        <w:gridCol w:w="1100"/>
        <w:gridCol w:w="1100"/>
        <w:gridCol w:w="1100"/>
        <w:gridCol w:w="1900"/>
        <w:gridCol w:w="860"/>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Treatment Path</w:t>
            </w:r>
          </w:p>
        </w:tc>
        <w:tc>
          <w:tcPr>
            <w:tcW w:type="dxa" w:w="14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Best-Case PFS</w:t>
            </w:r>
          </w:p>
        </w:tc>
        <w:tc>
          <w:tcPr>
            <w:tcW w:type="dxa" w:w="14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Typical PFS</w:t>
            </w:r>
          </w:p>
        </w:tc>
        <w:tc>
          <w:tcPr>
            <w:tcW w:type="dxa" w:w="15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Median OS</w:t>
            </w:r>
          </w:p>
        </w:tc>
        <w:tc>
          <w:tcPr>
            <w:tcW w:type="dxa" w:w="11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2-Year OS</w:t>
            </w:r>
          </w:p>
        </w:tc>
        <w:tc>
          <w:tcPr>
            <w:tcW w:type="dxa" w:w="11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3-Year OS</w:t>
            </w:r>
          </w:p>
        </w:tc>
        <w:tc>
          <w:tcPr>
            <w:tcW w:type="dxa" w:w="11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5-Year OS</w:t>
            </w:r>
          </w:p>
        </w:tc>
        <w:tc>
          <w:tcPr>
            <w:tcW w:type="dxa" w:w="19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Access in India</w:t>
            </w:r>
          </w:p>
        </w:tc>
        <w:tc>
          <w:tcPr>
            <w:tcW w:type="dxa" w:w="86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Overall Rank</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No effective treatment</w:t>
            </w:r>
          </w:p>
        </w:tc>
        <w:tc>
          <w:tcPr>
            <w:tcW w:type="dxa" w:w="1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&lt;3 months</w:t>
            </w:r>
          </w:p>
        </w:tc>
        <w:tc>
          <w:tcPr>
            <w:tcW w:type="dxa" w:w="1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&lt;3 months</w:t>
            </w:r>
          </w:p>
        </w:tc>
        <w:tc>
          <w:tcPr>
            <w:tcW w:type="dxa" w:w="1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6–10 months</w:t>
            </w:r>
          </w:p>
        </w:tc>
        <w:tc>
          <w:tcPr>
            <w:tcW w:type="dxa" w:w="1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~10%</w:t>
            </w:r>
          </w:p>
        </w:tc>
        <w:tc>
          <w:tcPr>
            <w:tcW w:type="dxa" w:w="1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w:t>
            </w:r>
          </w:p>
        </w:tc>
        <w:tc>
          <w:tcPr>
            <w:tcW w:type="dxa" w:w="1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~0%</w:t>
            </w:r>
          </w:p>
        </w:tc>
        <w:tc>
          <w:tcPr>
            <w:tcW w:type="dxa" w:w="19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N/A</w:t>
            </w:r>
          </w:p>
        </w:tc>
        <w:tc>
          <w:tcPr>
            <w:tcW w:type="dxa" w:w="8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Avoid</w:t>
            </w:r>
          </w:p>
        </w:tc>
      </w:tr>
      <w:tr>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Pomalidomide + Dex (Pd) alone</w:t>
            </w:r>
          </w:p>
        </w:tc>
        <w:tc>
          <w:tcPr>
            <w:tcW w:type="dxa" w:w="1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~6–9 months</w:t>
            </w:r>
          </w:p>
        </w:tc>
        <w:tc>
          <w:tcPr>
            <w:tcW w:type="dxa" w:w="1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~5–7 months</w:t>
            </w:r>
          </w:p>
        </w:tc>
        <w:tc>
          <w:tcPr>
            <w:tcW w:type="dxa" w:w="1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~12–18 months</w:t>
            </w:r>
          </w:p>
        </w:tc>
        <w:tc>
          <w:tcPr>
            <w:tcW w:type="dxa" w:w="11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~25%</w:t>
            </w:r>
          </w:p>
        </w:tc>
        <w:tc>
          <w:tcPr>
            <w:tcW w:type="dxa" w:w="11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~12%</w:t>
            </w:r>
          </w:p>
        </w:tc>
        <w:tc>
          <w:tcPr>
            <w:tcW w:type="dxa" w:w="11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w:t>
            </w:r>
          </w:p>
        </w:tc>
        <w:tc>
          <w:tcPr>
            <w:tcW w:type="dxa" w:w="19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AVAILABLE (oral)</w:t>
            </w:r>
          </w:p>
        </w:tc>
        <w:tc>
          <w:tcPr>
            <w:tcW w:type="dxa" w:w="8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Daratumumab + Pomalidomide + Dex (DPd; note patient already has documented maintenance daratumumab + pomalidomide exposure from Jan 2025)</w:t>
            </w:r>
          </w:p>
        </w:tc>
        <w:tc>
          <w:tcPr>
            <w:tcW w:type="dxa" w:w="1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~12–18 months</w:t>
            </w:r>
          </w:p>
        </w:tc>
        <w:tc>
          <w:tcPr>
            <w:tcW w:type="dxa" w:w="1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~12–15 months</w:t>
            </w:r>
          </w:p>
        </w:tc>
        <w:tc>
          <w:tcPr>
            <w:tcW w:type="dxa" w:w="1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~24–30 months</w:t>
            </w:r>
          </w:p>
        </w:tc>
        <w:tc>
          <w:tcPr>
            <w:tcW w:type="dxa" w:w="1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~45%</w:t>
            </w:r>
          </w:p>
        </w:tc>
        <w:tc>
          <w:tcPr>
            <w:tcW w:type="dxa" w:w="1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~28%</w:t>
            </w:r>
          </w:p>
        </w:tc>
        <w:tc>
          <w:tcPr>
            <w:tcW w:type="dxa" w:w="1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~12%</w:t>
            </w:r>
          </w:p>
        </w:tc>
        <w:tc>
          <w:tcPr>
            <w:tcW w:type="dxa" w:w="19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AVAILABLE</w:t>
            </w:r>
          </w:p>
        </w:tc>
        <w:tc>
          <w:tcPr>
            <w:tcW w:type="dxa" w:w="8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w:t>
            </w:r>
          </w:p>
        </w:tc>
      </w:tr>
      <w:tr>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Elranatamab monotherapy (BCMA bispecific)</w:t>
            </w:r>
          </w:p>
        </w:tc>
        <w:tc>
          <w:tcPr>
            <w:tcW w:type="dxa" w:w="1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~24–30 months</w:t>
            </w:r>
          </w:p>
        </w:tc>
        <w:tc>
          <w:tcPr>
            <w:tcW w:type="dxa" w:w="1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~18–24 months</w:t>
            </w:r>
          </w:p>
        </w:tc>
        <w:tc>
          <w:tcPr>
            <w:tcW w:type="dxa" w:w="1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~28–34 months</w:t>
            </w:r>
          </w:p>
        </w:tc>
        <w:tc>
          <w:tcPr>
            <w:tcW w:type="dxa" w:w="11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~55–62%</w:t>
            </w:r>
          </w:p>
        </w:tc>
        <w:tc>
          <w:tcPr>
            <w:tcW w:type="dxa" w:w="11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~30–38%</w:t>
            </w:r>
          </w:p>
        </w:tc>
        <w:tc>
          <w:tcPr>
            <w:tcW w:type="dxa" w:w="11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~15–22%</w:t>
            </w:r>
          </w:p>
        </w:tc>
        <w:tc>
          <w:tcPr>
            <w:tcW w:type="dxa" w:w="19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Compassionate use/import</w:t>
            </w:r>
          </w:p>
        </w:tc>
        <w:tc>
          <w:tcPr>
            <w:tcW w:type="dxa" w:w="8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Tec+Dara combination (MajesTEC-3 regimen)</w:t>
            </w:r>
          </w:p>
        </w:tc>
        <w:tc>
          <w:tcPr>
            <w:tcW w:type="dxa" w:w="1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~36+ months (PFS not reached in trial)</w:t>
            </w:r>
          </w:p>
        </w:tc>
        <w:tc>
          <w:tcPr>
            <w:tcW w:type="dxa" w:w="1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~36+ months</w:t>
            </w:r>
          </w:p>
        </w:tc>
        <w:tc>
          <w:tcPr>
            <w:tcW w:type="dxa" w:w="1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~40–50+ months</w:t>
            </w:r>
          </w:p>
        </w:tc>
        <w:tc>
          <w:tcPr>
            <w:tcW w:type="dxa" w:w="1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~80–85%</w:t>
            </w:r>
          </w:p>
        </w:tc>
        <w:tc>
          <w:tcPr>
            <w:tcW w:type="dxa" w:w="1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~75–83%</w:t>
            </w:r>
          </w:p>
        </w:tc>
        <w:tc>
          <w:tcPr>
            <w:tcW w:type="dxa" w:w="1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~50–60%</w:t>
            </w:r>
          </w:p>
        </w:tc>
        <w:tc>
          <w:tcPr>
            <w:tcW w:type="dxa" w:w="19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Not yet approved anywhere; trial access</w:t>
            </w:r>
          </w:p>
        </w:tc>
        <w:tc>
          <w:tcPr>
            <w:tcW w:type="dxa" w:w="8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 (if Tec+Dara accessible)</w:t>
            </w:r>
          </w:p>
        </w:tc>
      </w:tr>
      <w:tr>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Sequence 1: Elranatamab → Talquetamab → Salvage</w:t>
            </w:r>
          </w:p>
        </w:tc>
        <w:tc>
          <w:tcPr>
            <w:tcW w:type="dxa" w:w="1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~30–36 months cumulative</w:t>
            </w:r>
          </w:p>
        </w:tc>
        <w:tc>
          <w:tcPr>
            <w:tcW w:type="dxa" w:w="1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~24–30 months cumulative</w:t>
            </w:r>
          </w:p>
        </w:tc>
        <w:tc>
          <w:tcPr>
            <w:tcW w:type="dxa" w:w="1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~30–36 months</w:t>
            </w:r>
          </w:p>
        </w:tc>
        <w:tc>
          <w:tcPr>
            <w:tcW w:type="dxa" w:w="11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~58–65%</w:t>
            </w:r>
          </w:p>
        </w:tc>
        <w:tc>
          <w:tcPr>
            <w:tcW w:type="dxa" w:w="11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~32–40%</w:t>
            </w:r>
          </w:p>
        </w:tc>
        <w:tc>
          <w:tcPr>
            <w:tcW w:type="dxa" w:w="11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~16–24%</w:t>
            </w:r>
          </w:p>
        </w:tc>
        <w:tc>
          <w:tcPr>
            <w:tcW w:type="dxa" w:w="19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Compassionate use/import (both agents)</w:t>
            </w:r>
          </w:p>
        </w:tc>
        <w:tc>
          <w:tcPr>
            <w:tcW w:type="dxa" w:w="8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 (bispecific-only best)</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Sequence 2: Talquetamab → Elranatamab → Salvage</w:t>
            </w:r>
          </w:p>
        </w:tc>
        <w:tc>
          <w:tcPr>
            <w:tcW w:type="dxa" w:w="1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~28–36 months cumulative</w:t>
            </w:r>
          </w:p>
        </w:tc>
        <w:tc>
          <w:tcPr>
            <w:tcW w:type="dxa" w:w="1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~24–32 months cumulative</w:t>
            </w:r>
          </w:p>
        </w:tc>
        <w:tc>
          <w:tcPr>
            <w:tcW w:type="dxa" w:w="1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~30–38 months</w:t>
            </w:r>
          </w:p>
        </w:tc>
        <w:tc>
          <w:tcPr>
            <w:tcW w:type="dxa" w:w="1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~56–66%</w:t>
            </w:r>
          </w:p>
        </w:tc>
        <w:tc>
          <w:tcPr>
            <w:tcW w:type="dxa" w:w="1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~34–44%</w:t>
            </w:r>
          </w:p>
        </w:tc>
        <w:tc>
          <w:tcPr>
            <w:tcW w:type="dxa" w:w="1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~18–26%</w:t>
            </w:r>
          </w:p>
        </w:tc>
        <w:tc>
          <w:tcPr>
            <w:tcW w:type="dxa" w:w="19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Compassionate use/import (both agents)</w:t>
            </w:r>
          </w:p>
        </w:tc>
        <w:tc>
          <w:tcPr>
            <w:tcW w:type="dxa" w:w="8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 (comparable to Seq 1)</w:t>
            </w:r>
          </w:p>
        </w:tc>
      </w:tr>
      <w:tr>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Sequence 3: Talquetamab BRIDGE → Cilta-cel CAR-T → Bispecific if relapse</w:t>
            </w:r>
          </w:p>
        </w:tc>
        <w:tc>
          <w:tcPr>
            <w:tcW w:type="dxa" w:w="1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~54–72+ months</w:t>
            </w:r>
          </w:p>
        </w:tc>
        <w:tc>
          <w:tcPr>
            <w:tcW w:type="dxa" w:w="1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~48–60 months</w:t>
            </w:r>
          </w:p>
        </w:tc>
        <w:tc>
          <w:tcPr>
            <w:tcW w:type="dxa" w:w="1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~48–72 months</w:t>
            </w:r>
          </w:p>
        </w:tc>
        <w:tc>
          <w:tcPr>
            <w:tcW w:type="dxa" w:w="11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~80–90%</w:t>
            </w:r>
          </w:p>
        </w:tc>
        <w:tc>
          <w:tcPr>
            <w:tcW w:type="dxa" w:w="11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~70–80%</w:t>
            </w:r>
          </w:p>
        </w:tc>
        <w:tc>
          <w:tcPr>
            <w:tcW w:type="dxa" w:w="11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~45–60%</w:t>
            </w:r>
          </w:p>
        </w:tc>
        <w:tc>
          <w:tcPr>
            <w:tcW w:type="dxa" w:w="19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Talquetamab: import. CAR-T: abroad or trial.</w:t>
            </w:r>
          </w:p>
        </w:tc>
        <w:tc>
          <w:tcPr>
            <w:tcW w:type="dxa" w:w="8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 (BEST OVERALL)</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Cilta-cel CAR-T directly (no talquetamab bridge)</w:t>
            </w:r>
          </w:p>
        </w:tc>
        <w:tc>
          <w:tcPr>
            <w:tcW w:type="dxa" w:w="1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~40–60 months</w:t>
            </w:r>
          </w:p>
        </w:tc>
        <w:tc>
          <w:tcPr>
            <w:tcW w:type="dxa" w:w="1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~36–50 months</w:t>
            </w:r>
          </w:p>
        </w:tc>
        <w:tc>
          <w:tcPr>
            <w:tcW w:type="dxa" w:w="1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~48–70 months</w:t>
            </w:r>
          </w:p>
        </w:tc>
        <w:tc>
          <w:tcPr>
            <w:tcW w:type="dxa" w:w="1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~78–88%</w:t>
            </w:r>
          </w:p>
        </w:tc>
        <w:tc>
          <w:tcPr>
            <w:tcW w:type="dxa" w:w="1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~65–75%</w:t>
            </w:r>
          </w:p>
        </w:tc>
        <w:tc>
          <w:tcPr>
            <w:tcW w:type="dxa" w:w="1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~40–55%</w:t>
            </w:r>
          </w:p>
        </w:tc>
        <w:tc>
          <w:tcPr>
            <w:tcW w:type="dxa" w:w="19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Medical tourism (China ~$150-200K USD) or India trial</w:t>
            </w:r>
          </w:p>
        </w:tc>
        <w:tc>
          <w:tcPr>
            <w:tcW w:type="dxa" w:w="8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 (equal, slight advantage for bridge strategy)</w:t>
            </w:r>
          </w:p>
        </w:tc>
      </w:tr>
      <w:tr>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Ide-cel CAR-T (alternative to cilta-cel)</w:t>
            </w:r>
          </w:p>
        </w:tc>
        <w:tc>
          <w:tcPr>
            <w:tcW w:type="dxa" w:w="1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~18–24 months</w:t>
            </w:r>
          </w:p>
        </w:tc>
        <w:tc>
          <w:tcPr>
            <w:tcW w:type="dxa" w:w="1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~14–20 months</w:t>
            </w:r>
          </w:p>
        </w:tc>
        <w:tc>
          <w:tcPr>
            <w:tcW w:type="dxa" w:w="1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~24–36 months</w:t>
            </w:r>
          </w:p>
        </w:tc>
        <w:tc>
          <w:tcPr>
            <w:tcW w:type="dxa" w:w="11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~55–65%</w:t>
            </w:r>
          </w:p>
        </w:tc>
        <w:tc>
          <w:tcPr>
            <w:tcW w:type="dxa" w:w="11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~35–45%</w:t>
            </w:r>
          </w:p>
        </w:tc>
        <w:tc>
          <w:tcPr>
            <w:tcW w:type="dxa" w:w="11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~20–30%</w:t>
            </w:r>
          </w:p>
        </w:tc>
        <w:tc>
          <w:tcPr>
            <w:tcW w:type="dxa" w:w="19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Medical tourism only; inferior to cilta-cel</w:t>
            </w:r>
          </w:p>
        </w:tc>
        <w:tc>
          <w:tcPr>
            <w:tcW w:type="dxa" w:w="8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4F7" w:val="clear"/>
            <w:tcMar>
              <w:top w:type="dxa" w:w="120"/>
              <w:left w:type="dxa" w:w="180"/>
              <w:bottom w:type="dxa" w:w="120"/>
              <w:right w:type="dxa" w:w="180"/>
            </w:tcMar>
          </w:tcPr>
          <w:p>
            <w:pPr>
              <w:spacing w:after="80"/>
            </w:pPr>
            <w:r>
              <w:rPr>
                <w:rFonts w:ascii="Arial" w:cs="Arial" w:eastAsia="Arial" w:hAnsi="Arial"/>
                <w:b/>
                <w:bCs/>
                <w:i w:val="false"/>
                <w:iCs w:val="false"/>
                <w:color w:val="1F3864"/>
                <w:sz w:val="22"/>
                <w:szCs w:val="22"/>
              </w:rPr>
              <w:t xml:space="preserve">Reading the Table — Key Insight</w:t>
            </w:r>
          </w:p>
          <w:p>
            <w:pPr>
              <w:spacing w:after="60"/>
            </w:pPr>
            <w:r>
              <w:rPr>
                <w:rFonts w:ascii="Arial" w:cs="Arial" w:eastAsia="Arial" w:hAnsi="Arial"/>
                <w:b w:val="false"/>
                <w:bCs w:val="false"/>
                <w:i w:val="false"/>
                <w:iCs w:val="false"/>
                <w:color w:val="1F3864"/>
                <w:sz w:val="20"/>
                <w:szCs w:val="20"/>
              </w:rPr>
              <w:t xml:space="preserve">The difference between the bispecific-only path and the CAR-T path is most visible at 3 and 5 years. At 2 years, outcomes are broadly comparable. By 3 years, CAR-T delivers ~65–75% OS vs ~32–40% for sequential bispecifics. By 5 years, the gap is ~40–55% (CAR-T) vs ~15–22% (bispecifics alone).</w:t>
            </w:r>
          </w:p>
          <w:p>
            <w:pPr>
              <w:spacing w:after="60"/>
            </w:pPr>
            <w:r>
              <w:rPr>
                <w:rFonts w:ascii="Arial" w:cs="Arial" w:eastAsia="Arial" w:hAnsi="Arial"/>
                <w:b w:val="false"/>
                <w:bCs w:val="false"/>
                <w:i w:val="false"/>
                <w:iCs w:val="false"/>
                <w:color w:val="1F3864"/>
                <w:sz w:val="20"/>
                <w:szCs w:val="20"/>
              </w:rPr>
              <w:t xml:space="preserve">Teclistamab + Daratumumab combination (MajesTEC-3) is the notable exception — its 3-year OS of ~83% RIVALS CAR-T outcomes and may represent the most accessible high-performance option for this patient if commercially approved or available via trial.</w:t>
            </w:r>
          </w:p>
          <w:p>
            <w:pPr>
              <w:spacing w:after="60"/>
            </w:pPr>
            <w:r>
              <w:rPr>
                <w:rFonts w:ascii="Arial" w:cs="Arial" w:eastAsia="Arial" w:hAnsi="Arial"/>
                <w:b w:val="false"/>
                <w:bCs w:val="false"/>
                <w:i w:val="false"/>
                <w:iCs w:val="false"/>
                <w:color w:val="1F3864"/>
                <w:sz w:val="20"/>
                <w:szCs w:val="20"/>
              </w:rPr>
              <w:t xml:space="preserve">The talquetamab bridge → CAR-T sequence produces the HIGHEST reported response rates to subsequent CAR-T therapy (88% post-talquetamab) and represents the optimal strategy if CAR-T can be arranged within 4–8 weeks.</w:t>
            </w:r>
          </w:p>
        </w:tc>
      </w:tr>
    </w:tbl>
    <w:p>
      <w:pPr>
        <w:spacing w:after="80"/>
      </w:pPr>
      <w:r>
        <w:t xml:space="preserve"/>
      </w:r>
    </w:p>
    <w:p>
      <w:r>
        <w:br w:type="page"/>
      </w:r>
    </w:p>
    <w:p>
      <w:pPr>
        <w:pStyle w:val="Heading1"/>
        <w:shd w:fill="1F3864" w:val="clear"/>
        <w:spacing w:after="180" w:before="300"/>
        <w:ind w:left="200" w:right="200"/>
      </w:pPr>
      <w:r>
        <w:rPr>
          <w:rFonts w:ascii="Arial" w:cs="Arial" w:eastAsia="Arial" w:hAnsi="Arial"/>
          <w:b/>
          <w:bCs/>
          <w:i w:val="false"/>
          <w:iCs w:val="false"/>
          <w:color w:val="FFFFFF"/>
          <w:sz w:val="36"/>
          <w:szCs w:val="36"/>
        </w:rPr>
        <w:t xml:space="preserve">D.  Definitive Individualized PFS and OS — Bispecific-Only Path</w:t>
      </w:r>
    </w:p>
    <w:p>
      <w:pPr>
        <w:spacing w:after="120"/>
      </w:pPr>
      <w:r>
        <w:rPr>
          <w:rFonts w:ascii="Arial" w:cs="Arial" w:eastAsia="Arial" w:hAnsi="Arial"/>
          <w:b/>
          <w:bCs/>
          <w:i w:val="false"/>
          <w:iCs w:val="false"/>
          <w:color w:val="1F3864"/>
          <w:sz w:val="22"/>
          <w:szCs w:val="22"/>
        </w:rPr>
        <w:t xml:space="preserve">DIRECT ANSWER TO THE QUESTION: If Vipan Kumar Garg follows the bispecific-only pathway (teclistamab, elranatamab, talquetamab) and does NOT receive CAR-T, what are his realistic PFS and OS outcomes?</w:t>
      </w:r>
    </w:p>
    <w:p>
      <w:pPr>
        <w:spacing w:after="80"/>
      </w:pPr>
      <w:r>
        <w:t xml:space="preserve"/>
      </w:r>
    </w:p>
    <w:p>
      <w:pPr>
        <w:pStyle w:val="Heading2"/>
        <w:pBdr>
          <w:bottom w:val="single" w:color="2E5FA3" w:sz="4"/>
        </w:pBdr>
        <w:spacing w:after="140" w:before="260"/>
      </w:pPr>
      <w:r>
        <w:rPr>
          <w:rFonts w:ascii="Arial" w:cs="Arial" w:eastAsia="Arial" w:hAnsi="Arial"/>
          <w:b/>
          <w:bCs/>
          <w:i w:val="false"/>
          <w:iCs w:val="false"/>
          <w:color w:val="1F3864"/>
          <w:sz w:val="28"/>
          <w:szCs w:val="28"/>
        </w:rPr>
        <w:t xml:space="preserve">D.1  Patient-Specific Adjustment Factors Applied to Trial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000"/>
        <w:gridCol w:w="3260"/>
      </w:tblGrid>
      <w:tr>
        <w:trPr>
          <w:tblHeader/>
        </w:trPr>
        <w:tc>
          <w:tcPr>
            <w:tcW w:type="dxa" w:w="26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Factor</w:t>
            </w:r>
          </w:p>
        </w:tc>
        <w:tc>
          <w:tcPr>
            <w:tcW w:type="dxa" w:w="15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Direction of Adjustment</w:t>
            </w:r>
          </w:p>
        </w:tc>
        <w:tc>
          <w:tcPr>
            <w:tcW w:type="dxa" w:w="20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Magnitude</w:t>
            </w:r>
          </w:p>
        </w:tc>
        <w:tc>
          <w:tcPr>
            <w:tcW w:type="dxa" w:w="326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Reasoning</w:t>
            </w:r>
          </w:p>
        </w:tc>
      </w:tr>
      <w:tr>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Only 1 prior line of therapy</w:t>
            </w:r>
          </w:p>
        </w:tc>
        <w:tc>
          <w:tcPr>
            <w:tcW w:type="dxa" w:w="1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UPWARD ↑</w:t>
            </w:r>
          </w:p>
        </w:tc>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+15–25% on ORR; +4–8 months on PFS/OS</w:t>
            </w:r>
          </w:p>
        </w:tc>
        <w:tc>
          <w:tcPr>
            <w:tcW w:type="dxa" w:w="32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All major bispecific trials enrolled patients with median 3–6 prior lines. Fewer prior lines = less resistant disease, less clonal diversity, better immune effector function</w:t>
            </w:r>
          </w:p>
        </w:tc>
      </w:tr>
      <w:tr>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BCMA-naive status</w:t>
            </w:r>
          </w:p>
        </w:tc>
        <w:tc>
          <w:tcPr>
            <w:tcW w:type="dxa" w:w="1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UPWARD ↑</w:t>
            </w:r>
          </w:p>
        </w:tc>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+5–10% on BCMA-bispecific ORR</w:t>
            </w:r>
          </w:p>
        </w:tc>
        <w:tc>
          <w:tcPr>
            <w:tcW w:type="dxa" w:w="32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Highest responses to BCMA-directed therapy occur in BCMA-naive patients. This patient has NEVER had a BCMA-directed therapy.</w:t>
            </w:r>
          </w:p>
        </w:tc>
      </w:tr>
      <w:tr>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Dara-exposed (not refractory)</w:t>
            </w:r>
          </w:p>
        </w:tc>
        <w:tc>
          <w:tcPr>
            <w:tcW w:type="dxa" w:w="1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NEUTRAL / SLIGHT ↓</w:t>
            </w:r>
          </w:p>
        </w:tc>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−2–5% on dara re-challenge activity</w:t>
            </w:r>
          </w:p>
        </w:tc>
        <w:tc>
          <w:tcPr>
            <w:tcW w:type="dxa" w:w="32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Daratumumab was part of his first line but stopped over 18 months ago. Dara-refractoriness is not confirmed. In the Tec+Dara combination context, this is partially offset by the combination's synergy.</w:t>
            </w:r>
          </w:p>
        </w:tc>
      </w:tr>
      <w:tr>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Bortezomib-refractory</w:t>
            </w:r>
          </w:p>
        </w:tc>
        <w:tc>
          <w:tcPr>
            <w:tcW w:type="dxa" w:w="1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NEUTRAL for bispecifics</w:t>
            </w:r>
          </w:p>
        </w:tc>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No significant impact</w:t>
            </w:r>
          </w:p>
        </w:tc>
        <w:tc>
          <w:tcPr>
            <w:tcW w:type="dxa" w:w="32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Bispecific antibodies target T-cells, not the proteasome pathway. Bortezomib resistance does not affect bispecific antibody mechanism of action.</w:t>
            </w:r>
          </w:p>
        </w:tc>
      </w:tr>
      <w:tr>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CKD G3b (eGFR 40)</w:t>
            </w:r>
          </w:p>
        </w:tc>
        <w:tc>
          <w:tcPr>
            <w:tcW w:type="dxa" w:w="1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DOWNWARD ↓</w:t>
            </w:r>
          </w:p>
        </w:tc>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−3–6 months on OS</w:t>
            </w:r>
          </w:p>
        </w:tc>
        <w:tc>
          <w:tcPr>
            <w:tcW w:type="dxa" w:w="32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Increased infection risk from immunosuppression, reduced drug clearance monitoring, limited supportive options. Real-world bispecific data in CKD G3b: comparable ORR but higher transfusion requirements.</w:t>
            </w:r>
          </w:p>
        </w:tc>
      </w:tr>
      <w:tr>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Age 69 with multi-comorbidity</w:t>
            </w:r>
          </w:p>
        </w:tc>
        <w:tc>
          <w:tcPr>
            <w:tcW w:type="dxa" w:w="1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DOWNWARD ↓</w:t>
            </w:r>
          </w:p>
        </w:tc>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−2–4 months on OS from non-myeloma causes</w:t>
            </w:r>
          </w:p>
        </w:tc>
        <w:tc>
          <w:tcPr>
            <w:tcW w:type="dxa" w:w="32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Background mortality risk from HTN, asthma, pre-diabetes, BPH. Increases risk of death from infection or other causes.</w:t>
            </w:r>
          </w:p>
        </w:tc>
      </w:tr>
      <w:tr>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Severe immunoparesis (IgM &lt;21)</w:t>
            </w:r>
          </w:p>
        </w:tc>
        <w:tc>
          <w:tcPr>
            <w:tcW w:type="dxa" w:w="1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DOWNWARD ↓</w:t>
            </w:r>
          </w:p>
        </w:tc>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−3–5 months on OS (infection mortality)</w:t>
            </w:r>
          </w:p>
        </w:tc>
        <w:tc>
          <w:tcPr>
            <w:tcW w:type="dxa" w:w="32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Bispecific antibodies deepen B-cell aplasia and worsen hypogammaglobulinemia. This patient's IgM is already critically low. With prophylaxis and IVIG, this risk is manageable but not eliminated.</w:t>
            </w:r>
          </w:p>
        </w:tc>
      </w:tr>
      <w:tr>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Cytopenias (Plt 110, ANC 1.45)</w:t>
            </w:r>
          </w:p>
        </w:tc>
        <w:tc>
          <w:tcPr>
            <w:tcW w:type="dxa" w:w="1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DOWNWARD ↓</w:t>
            </w:r>
          </w:p>
        </w:tc>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−1–3 months on OS</w:t>
            </w:r>
          </w:p>
        </w:tc>
        <w:tc>
          <w:tcPr>
            <w:tcW w:type="dxa" w:w="32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Hematologic reserve is limited. Prolonged cytopenias post-bispecific increase infection risk and transfusion dependence.</w:t>
            </w:r>
          </w:p>
        </w:tc>
      </w:tr>
      <w:tr>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1q gain + 1p deletion (FISH)</w:t>
            </w:r>
          </w:p>
        </w:tc>
        <w:tc>
          <w:tcPr>
            <w:tcW w:type="dxa" w:w="15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DOWNWARD ↓</w:t>
            </w:r>
          </w:p>
        </w:tc>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−2–4 months on PFS</w:t>
            </w:r>
          </w:p>
        </w:tc>
        <w:tc>
          <w:tcPr>
            <w:tcW w:type="dxa" w:w="32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Patients with 1q gain have modestly shorter PFS on bispecific therapy in subgroup analyses.</w:t>
            </w:r>
          </w:p>
        </w:tc>
      </w:tr>
      <w:tr>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Strong familial myeloma history</w:t>
            </w:r>
          </w:p>
        </w:tc>
        <w:tc>
          <w:tcPr>
            <w:tcW w:type="dxa" w:w="15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NEUTRAL (uncertain)</w:t>
            </w:r>
          </w:p>
        </w:tc>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Uncertain — may indicate more aggressive biology</w:t>
            </w:r>
          </w:p>
        </w:tc>
        <w:tc>
          <w:tcPr>
            <w:tcW w:type="dxa" w:w="32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Familial myeloma biology is under-studied. Could reflect germline DNA repair defects. No current treatment adjustment, but important uncertainty.</w:t>
            </w:r>
          </w:p>
        </w:tc>
      </w:tr>
    </w:tbl>
    <w:p>
      <w:pPr>
        <w:spacing w:after="80"/>
      </w:pPr>
      <w:r>
        <w:t xml:space="preserve"/>
      </w:r>
    </w:p>
    <w:p>
      <w:pPr>
        <w:pStyle w:val="Heading2"/>
        <w:pBdr>
          <w:bottom w:val="single" w:color="2E5FA3" w:sz="4"/>
        </w:pBdr>
        <w:spacing w:after="140" w:before="260"/>
      </w:pPr>
      <w:r>
        <w:rPr>
          <w:rFonts w:ascii="Arial" w:cs="Arial" w:eastAsia="Arial" w:hAnsi="Arial"/>
          <w:b/>
          <w:bCs/>
          <w:i w:val="false"/>
          <w:iCs w:val="false"/>
          <w:color w:val="1F3864"/>
          <w:sz w:val="28"/>
          <w:szCs w:val="28"/>
        </w:rPr>
        <w:t xml:space="preserve">D.2  NET Individualized PFS and OS — Bispecific-Only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2F2F2" w:val="clear"/>
            <w:tcMar>
              <w:top w:type="dxa" w:w="120"/>
              <w:left w:type="dxa" w:w="180"/>
              <w:bottom w:type="dxa" w:w="120"/>
              <w:right w:type="dxa" w:w="180"/>
            </w:tcMar>
          </w:tcPr>
          <w:p>
            <w:pPr>
              <w:spacing w:after="80"/>
            </w:pPr>
            <w:r>
              <w:rPr>
                <w:rFonts w:ascii="Arial" w:cs="Arial" w:eastAsia="Arial" w:hAnsi="Arial"/>
                <w:b/>
                <w:bCs/>
                <w:i w:val="false"/>
                <w:iCs w:val="false"/>
                <w:color w:val="444444"/>
                <w:sz w:val="22"/>
                <w:szCs w:val="22"/>
              </w:rPr>
              <w:t xml:space="preserve">Methodology Note</w:t>
            </w:r>
          </w:p>
          <w:p>
            <w:pPr>
              <w:spacing w:after="60"/>
            </w:pPr>
            <w:r>
              <w:rPr>
                <w:rFonts w:ascii="Arial" w:cs="Arial" w:eastAsia="Arial" w:hAnsi="Arial"/>
                <w:b w:val="false"/>
                <w:bCs w:val="false"/>
                <w:i w:val="false"/>
                <w:iCs w:val="false"/>
                <w:color w:val="444444"/>
                <w:sz w:val="20"/>
                <w:szCs w:val="20"/>
              </w:rPr>
              <w:t xml:space="preserve">Net adjustment from all factors: +15–25% from fewer prior lines and BCMA-naive status (UPWARD), offset by −10–15% from CKD, age, immunoparesis, and cytopenias (DOWNWARD).</w:t>
            </w:r>
          </w:p>
          <w:p>
            <w:pPr>
              <w:spacing w:after="60"/>
            </w:pPr>
            <w:r>
              <w:rPr>
                <w:rFonts w:ascii="Arial" w:cs="Arial" w:eastAsia="Arial" w:hAnsi="Arial"/>
                <w:b w:val="false"/>
                <w:bCs w:val="false"/>
                <w:i w:val="false"/>
                <w:iCs w:val="false"/>
                <w:color w:val="444444"/>
                <w:sz w:val="20"/>
                <w:szCs w:val="20"/>
              </w:rPr>
              <w:t xml:space="preserve">Net result: This patient is expected to perform MARGINALLY BETTER than the heavily pretreated trial populations in terms of ORR and initial PFS, but his comorbidity burden partially erodes the benefit. OS is the most impacted metric by comorbidities.</w:t>
            </w:r>
          </w:p>
          <w:p>
            <w:pPr>
              <w:spacing w:after="60"/>
            </w:pPr>
            <w:r>
              <w:rPr>
                <w:rFonts w:ascii="Arial" w:cs="Arial" w:eastAsia="Arial" w:hAnsi="Arial"/>
                <w:b w:val="false"/>
                <w:bCs w:val="false"/>
                <w:i w:val="false"/>
                <w:iCs w:val="false"/>
                <w:color w:val="444444"/>
                <w:sz w:val="20"/>
                <w:szCs w:val="20"/>
              </w:rPr>
              <w:t xml:space="preserve">Best available comparator: The ≤3 prior lines subgroup in MajesTEC-1 (median OS 25.9 months) provides the closest real-world anchor. Elranatamab data with longer median PFS (17.2 months) suggests slightly better outcomes with that agent as first bispecific.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600"/>
        <w:gridCol w:w="1360"/>
      </w:tblGrid>
      <w:tr>
        <w:trPr>
          <w:tblHeader/>
        </w:trPr>
        <w:tc>
          <w:tcPr>
            <w:tcW w:type="dxa" w:w="2400"/>
            <w:tcBorders>
              <w:top w:val="single" w:color="0D6655" w:sz="2"/>
              <w:left w:val="single" w:color="0D6655" w:sz="2"/>
              <w:bottom w:val="single" w:color="0D6655" w:sz="2"/>
              <w:right w:val="single" w:color="0D6655" w:sz="2"/>
            </w:tcBorders>
            <w:shd w:fill="0D6655"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Outcome Metric</w:t>
            </w:r>
          </w:p>
        </w:tc>
        <w:tc>
          <w:tcPr>
            <w:tcW w:type="dxa" w:w="3000"/>
            <w:tcBorders>
              <w:top w:val="single" w:color="0D6655" w:sz="2"/>
              <w:left w:val="single" w:color="0D6655" w:sz="2"/>
              <w:bottom w:val="single" w:color="0D6655" w:sz="2"/>
              <w:right w:val="single" w:color="0D6655" w:sz="2"/>
            </w:tcBorders>
            <w:shd w:fill="0D6655"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Scenario A
Elranatamab mono → Talquetamab → Salvage</w:t>
            </w:r>
          </w:p>
        </w:tc>
        <w:tc>
          <w:tcPr>
            <w:tcW w:type="dxa" w:w="2600"/>
            <w:tcBorders>
              <w:top w:val="single" w:color="0D6655" w:sz="2"/>
              <w:left w:val="single" w:color="0D6655" w:sz="2"/>
              <w:bottom w:val="single" w:color="0D6655" w:sz="2"/>
              <w:right w:val="single" w:color="0D6655" w:sz="2"/>
            </w:tcBorders>
            <w:shd w:fill="0D6655"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Scenario B
Tec+Dara (MajesTEC-3) → Talquetamab → Salvage</w:t>
            </w:r>
          </w:p>
        </w:tc>
        <w:tc>
          <w:tcPr>
            <w:tcW w:type="dxa" w:w="1360"/>
            <w:tcBorders>
              <w:top w:val="single" w:color="0D6655" w:sz="2"/>
              <w:left w:val="single" w:color="0D6655" w:sz="2"/>
              <w:bottom w:val="single" w:color="0D6655" w:sz="2"/>
              <w:right w:val="single" w:color="0D6655" w:sz="2"/>
            </w:tcBorders>
            <w:shd w:fill="0D6655"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Confidence Level</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Response probability (Phase 1)</w:t>
            </w:r>
          </w:p>
        </w:tc>
        <w:tc>
          <w:tcPr>
            <w:tcW w:type="dxa" w:w="3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65–70% (elranatamab)</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88–90% (Tec+Dara)</w:t>
            </w:r>
          </w:p>
        </w:tc>
        <w:tc>
          <w:tcPr>
            <w:tcW w:type="dxa" w:w="1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High — based on multiple large trials</w:t>
            </w:r>
          </w:p>
        </w:tc>
      </w:tr>
      <w:tr>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Phase 1 PFS (1st bispecific)</w:t>
            </w:r>
          </w:p>
        </w:tc>
        <w:tc>
          <w:tcPr>
            <w:tcW w:type="dxa" w:w="3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18–24 months (individualized)</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36+ months (trial PFS not reached)</w:t>
            </w:r>
          </w:p>
        </w:tc>
        <w:tc>
          <w:tcPr>
            <w:tcW w:type="dxa" w:w="13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Moderate-high — adjusted from MagnetisMM-3 and MajesTEC-3</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Phase 2 PFS (talquetamab post-BCMA)</w:t>
            </w:r>
          </w:p>
        </w:tc>
        <w:tc>
          <w:tcPr>
            <w:tcW w:type="dxa" w:w="3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4–5 months</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4–5 months</w:t>
            </w:r>
          </w:p>
        </w:tc>
        <w:tc>
          <w:tcPr>
            <w:tcW w:type="dxa" w:w="1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High — MonumenTAL data directly applicable</w:t>
            </w:r>
          </w:p>
        </w:tc>
      </w:tr>
      <w:tr>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Total time to 2nd progression</w:t>
            </w:r>
          </w:p>
        </w:tc>
        <w:tc>
          <w:tcPr>
            <w:tcW w:type="dxa" w:w="3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22–29 months</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40–45+ months</w:t>
            </w:r>
          </w:p>
        </w:tc>
        <w:tc>
          <w:tcPr>
            <w:tcW w:type="dxa" w:w="13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Moderate confidence</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Median OS — BISPECIFIC PATH ONLY</w:t>
            </w:r>
          </w:p>
        </w:tc>
        <w:tc>
          <w:tcPr>
            <w:tcW w:type="dxa" w:w="3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28–34 months (~2.5–3 years)</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42–52 months (~3.5–4.5 years)</w:t>
            </w:r>
          </w:p>
        </w:tc>
        <w:tc>
          <w:tcPr>
            <w:tcW w:type="dxa" w:w="1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Moderate confidence — extrapolated from MajesTEC-3 36-mo OS 83%</w:t>
            </w:r>
          </w:p>
        </w:tc>
      </w:tr>
      <w:tr>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2-year OS probability</w:t>
            </w:r>
          </w:p>
        </w:tc>
        <w:tc>
          <w:tcPr>
            <w:tcW w:type="dxa" w:w="3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55–62%</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80–85%</w:t>
            </w:r>
          </w:p>
        </w:tc>
        <w:tc>
          <w:tcPr>
            <w:tcW w:type="dxa" w:w="13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High for Scenario B (MajesTEC-3 data)</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3-year OS probability</w:t>
            </w:r>
          </w:p>
        </w:tc>
        <w:tc>
          <w:tcPr>
            <w:tcW w:type="dxa" w:w="3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30–38%</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72–80%</w:t>
            </w:r>
          </w:p>
        </w:tc>
        <w:tc>
          <w:tcPr>
            <w:tcW w:type="dxa" w:w="1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Moderate — MajesTEC-3 36-month OS 83% supports Scenario B</w:t>
            </w:r>
          </w:p>
        </w:tc>
      </w:tr>
      <w:tr>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5-year OS probability</w:t>
            </w:r>
          </w:p>
        </w:tc>
        <w:tc>
          <w:tcPr>
            <w:tcW w:type="dxa" w:w="3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15–22%</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40–55%</w:t>
            </w:r>
          </w:p>
        </w:tc>
        <w:tc>
          <w:tcPr>
            <w:tcW w:type="dxa" w:w="13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Low confidence — insufficient long-term follow-up for bispecifics</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Best-case OS (exceptional responder)</w:t>
            </w:r>
          </w:p>
        </w:tc>
        <w:tc>
          <w:tcPr>
            <w:tcW w:type="dxa" w:w="3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48–60 months</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72–84+ months</w:t>
            </w:r>
          </w:p>
        </w:tc>
        <w:tc>
          <w:tcPr>
            <w:tcW w:type="dxa" w:w="1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Extrapolated from CR curve tails in trial data</w:t>
            </w:r>
          </w:p>
        </w:tc>
      </w:tr>
      <w:tr>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Typical-case OS (partial responder)</w:t>
            </w:r>
          </w:p>
        </w:tc>
        <w:tc>
          <w:tcPr>
            <w:tcW w:type="dxa" w:w="3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28–34 months</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42–52 months</w:t>
            </w:r>
          </w:p>
        </w:tc>
        <w:tc>
          <w:tcPr>
            <w:tcW w:type="dxa" w:w="13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Most likely range for the majority of patients</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Worst-case OS (infection death or refractory)</w:t>
            </w:r>
          </w:p>
        </w:tc>
        <w:tc>
          <w:tcPr>
            <w:tcW w:type="dxa" w:w="3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10–15 months</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15–22 months</w:t>
            </w:r>
          </w:p>
        </w:tc>
        <w:tc>
          <w:tcPr>
            <w:tcW w:type="dxa" w:w="1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~30–35% non-responders; infection is #1 cause of death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20"/>
              <w:left w:type="dxa" w:w="180"/>
              <w:bottom w:type="dxa" w:w="120"/>
              <w:right w:type="dxa" w:w="180"/>
            </w:tcMar>
          </w:tcPr>
          <w:p>
            <w:pPr>
              <w:spacing w:after="80"/>
            </w:pPr>
            <w:r>
              <w:rPr>
                <w:rFonts w:ascii="Arial" w:cs="Arial" w:eastAsia="Arial" w:hAnsi="Arial"/>
                <w:b/>
                <w:bCs/>
                <w:i w:val="false"/>
                <w:iCs w:val="false"/>
                <w:color w:val="7D5A00"/>
                <w:sz w:val="22"/>
                <w:szCs w:val="22"/>
              </w:rPr>
              <w:t xml:space="preserve">PLAIN-LANGUAGE SUMMARY — If ONLY Bispecific Antibodies Are Used</w:t>
            </w:r>
          </w:p>
          <w:p>
            <w:pPr>
              <w:spacing w:after="60"/>
            </w:pPr>
            <w:r>
              <w:rPr>
                <w:rFonts w:ascii="Arial" w:cs="Arial" w:eastAsia="Arial" w:hAnsi="Arial"/>
                <w:b w:val="false"/>
                <w:bCs w:val="false"/>
                <w:i w:val="false"/>
                <w:iCs w:val="false"/>
                <w:color w:val="7D5A00"/>
                <w:sz w:val="20"/>
                <w:szCs w:val="20"/>
              </w:rPr>
              <w:t xml:space="preserve">SCENARIO A (Elranatamab → Talquetamab): Most likely outcome is approximately 28–34 months of overall survival from the start of bispecific therapy — roughly 2.5 to 3 years. About 55–62% of patients with this profile survive 2 years; about 30–38% survive 3 years.</w:t>
            </w:r>
          </w:p>
          <w:p>
            <w:pPr>
              <w:spacing w:after="60"/>
            </w:pPr>
            <w:r>
              <w:rPr>
                <w:rFonts w:ascii="Arial" w:cs="Arial" w:eastAsia="Arial" w:hAnsi="Arial"/>
                <w:b w:val="false"/>
                <w:bCs w:val="false"/>
                <w:i w:val="false"/>
                <w:iCs w:val="false"/>
                <w:color w:val="7D5A00"/>
                <w:sz w:val="20"/>
                <w:szCs w:val="20"/>
              </w:rPr>
              <w:t xml:space="preserve">SCENARIO B (Teclistamab + Daratumumab combination, MajesTEC-3): Most likely outcome is approximately 42–52 months — roughly 3.5 to 4.5 years. About 80–85% survive 2 years; about 72–80% survive 3 years. This is a landmark improvement.</w:t>
            </w:r>
          </w:p>
          <w:p>
            <w:pPr>
              <w:spacing w:after="60"/>
            </w:pPr>
            <w:r>
              <w:rPr>
                <w:rFonts w:ascii="Arial" w:cs="Arial" w:eastAsia="Arial" w:hAnsi="Arial"/>
                <w:b w:val="false"/>
                <w:bCs w:val="false"/>
                <w:i w:val="false"/>
                <w:iCs w:val="false"/>
                <w:color w:val="7D5A00"/>
                <w:sz w:val="20"/>
                <w:szCs w:val="20"/>
              </w:rPr>
              <w:t xml:space="preserve">THE KEY LIMITATION of bispecific-only: The sequential bispecific path's outcomes flatten sharply after 3 years. By contrast, CAR-T has a meaningful 5-year plateau — about 30–40% of patients in CARTITUDE-1 remained progression-free at 5 years, and those patients may represent a functional cure group.</w:t>
            </w:r>
          </w:p>
          <w:p>
            <w:pPr>
              <w:spacing w:after="60"/>
            </w:pPr>
            <w:r>
              <w:rPr>
                <w:rFonts w:ascii="Arial" w:cs="Arial" w:eastAsia="Arial" w:hAnsi="Arial"/>
                <w:b w:val="false"/>
                <w:bCs w:val="false"/>
                <w:i w:val="false"/>
                <w:iCs w:val="false"/>
                <w:color w:val="7D5A00"/>
                <w:sz w:val="20"/>
                <w:szCs w:val="20"/>
              </w:rPr>
              <w:t xml:space="preserve">INFECTION IS THE ACHILLES' HEEL: The leading cause of death in bispecific-treated myeloma patients is infection — driven by the profound immunosuppression these drugs cause. This patient's already-severe immunoparesis (IgM &lt;21) makes him especially vulnerable. Mandatory IVIG supplementation and prophylaxis are non-negotiable.</w:t>
            </w:r>
          </w:p>
        </w:tc>
      </w:tr>
    </w:tbl>
    <w:p>
      <w:pPr>
        <w:spacing w:after="80"/>
      </w:pPr>
      <w:r>
        <w:t xml:space="preserve"/>
      </w:r>
    </w:p>
    <w:p>
      <w:r>
        <w:br w:type="page"/>
      </w:r>
    </w:p>
    <w:p>
      <w:pPr>
        <w:pStyle w:val="Heading1"/>
        <w:shd w:fill="1F3864" w:val="clear"/>
        <w:spacing w:after="180" w:before="300"/>
        <w:ind w:left="200" w:right="200"/>
      </w:pPr>
      <w:r>
        <w:rPr>
          <w:rFonts w:ascii="Arial" w:cs="Arial" w:eastAsia="Arial" w:hAnsi="Arial"/>
          <w:b/>
          <w:bCs/>
          <w:i w:val="false"/>
          <w:iCs w:val="false"/>
          <w:color w:val="FFFFFF"/>
          <w:sz w:val="36"/>
          <w:szCs w:val="36"/>
        </w:rPr>
        <w:t xml:space="preserve">E.  Bispecific vs CAR-T — The Critical Decision for This Patient</w:t>
      </w:r>
    </w:p>
    <w:p>
      <w:pPr>
        <w:pStyle w:val="Heading2"/>
        <w:pBdr>
          <w:bottom w:val="single" w:color="2E5FA3" w:sz="4"/>
        </w:pBdr>
        <w:spacing w:after="140" w:before="260"/>
      </w:pPr>
      <w:r>
        <w:rPr>
          <w:rFonts w:ascii="Arial" w:cs="Arial" w:eastAsia="Arial" w:hAnsi="Arial"/>
          <w:b/>
          <w:bCs/>
          <w:i w:val="false"/>
          <w:iCs w:val="false"/>
          <w:color w:val="1F3864"/>
          <w:sz w:val="28"/>
          <w:szCs w:val="28"/>
        </w:rPr>
        <w:t xml:space="preserve">E.1  Head-to-Head —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760"/>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Metric</w:t>
            </w:r>
          </w:p>
        </w:tc>
        <w:tc>
          <w:tcPr>
            <w:tcW w:type="dxa" w:w="26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Bispecific-Only Path
(Best: Tec+Dara → Talquetamab)</w:t>
            </w:r>
          </w:p>
        </w:tc>
        <w:tc>
          <w:tcPr>
            <w:tcW w:type="dxa" w:w="26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CAR-T Path
(Best: Talquetamab Bridge → Cilta-cel)</w:t>
            </w:r>
          </w:p>
        </w:tc>
        <w:tc>
          <w:tcPr>
            <w:tcW w:type="dxa" w:w="176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Magnitude of CAR-T Advantage</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Median PFS</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36+ months (Phase 1 alone)</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48–60+ months</w:t>
            </w:r>
          </w:p>
        </w:tc>
        <w:tc>
          <w:tcPr>
            <w:tcW w:type="dxa" w:w="17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CAR-T: ~12–24 months additional</w:t>
            </w:r>
          </w:p>
        </w:tc>
      </w:tr>
      <w:tr>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Median OS (individualized)</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~42–52 months (Tec+Dara scenario)</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~54–72 months</w:t>
            </w:r>
          </w:p>
        </w:tc>
        <w:tc>
          <w:tcPr>
            <w:tcW w:type="dxa" w:w="17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CAR-T: ~12–20 months additional OS</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3-year OS</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~72–80%</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~70–80%</w:t>
            </w:r>
          </w:p>
        </w:tc>
        <w:tc>
          <w:tcPr>
            <w:tcW w:type="dxa" w:w="17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COMPARABLE at 3 years — key bifurcation point</w:t>
            </w:r>
          </w:p>
        </w:tc>
      </w:tr>
      <w:tr>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5-year OS</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~40–55% (if Tec+Dara sustained)</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~45–60%</w:t>
            </w:r>
          </w:p>
        </w:tc>
        <w:tc>
          <w:tcPr>
            <w:tcW w:type="dxa" w:w="17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CAR-T slightly better, but curves converging with Tec+Dara combination data</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Treatment burden</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Ongoing injections (every 1–2 weeks indefinitely)</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Single infusion (one-time)</w:t>
            </w:r>
          </w:p>
        </w:tc>
        <w:tc>
          <w:tcPr>
            <w:tcW w:type="dxa" w:w="17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CAR-T dramatically lower treatment burden</w:t>
            </w:r>
          </w:p>
        </w:tc>
      </w:tr>
      <w:tr>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Infection management</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CONTINUOUS immunosuppression — indefinite IVIG needed</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Acute immunosuppression — recovers over 12–24 months</w:t>
            </w:r>
          </w:p>
        </w:tc>
        <w:tc>
          <w:tcPr>
            <w:tcW w:type="dxa" w:w="17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CAR-T: immune reconstitution allows eventual recovery; bispecific does not</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Access in India (April 2026)</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Moderate — compassionate use/import possible</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Difficult — abroad or clinical trial</w:t>
            </w:r>
          </w:p>
        </w:tc>
        <w:tc>
          <w:tcPr>
            <w:tcW w:type="dxa" w:w="17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Bispecific is more accessible RIGHT NOW</w:t>
            </w:r>
          </w:p>
        </w:tc>
      </w:tr>
      <w:tr>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Estimated cost</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$50,000–100,000 USD/year (ongoing)</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$150,000–250,000 USD (China, one-time)</w:t>
            </w:r>
          </w:p>
        </w:tc>
        <w:tc>
          <w:tcPr>
            <w:tcW w:type="dxa" w:w="17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Similar 2-year cost; CAR-T cheaper long-term if durable response</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Risk of severe CRS</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72–77% CRS (grade 1–2 mostly; grade 3+ rare)</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95% CRS (5% grade 3+; delayed neurotoxicity 3–5%)</w:t>
            </w:r>
          </w:p>
        </w:tc>
        <w:tc>
          <w:tcPr>
            <w:tcW w:type="dxa" w:w="17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CAR-T: higher acute toxicity; bispecific: lower acute but indefinite chronic toxicity</w:t>
            </w:r>
          </w:p>
        </w:tc>
      </w:tr>
      <w:tr>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Renal safety (eGFR 40)</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Feasible — real-world data supports use in CKD</w:t>
            </w:r>
          </w:p>
        </w:tc>
        <w:tc>
          <w:tcPr>
            <w:tcW w:type="dxa" w:w="2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Requires nephrology assessment; lymphodepletion can transiently worsen eGFR</w:t>
            </w:r>
          </w:p>
        </w:tc>
        <w:tc>
          <w:tcPr>
            <w:tcW w:type="dxa" w:w="17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Bispecific: lower acute renal risk; CAR-T: manageable with monitoring</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Quality of life</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Frequent hospital visits; chronic immunosuppression; ongoing side effects (skin changes with talquetamab)</w:t>
            </w:r>
          </w:p>
        </w:tc>
        <w:tc>
          <w:tcPr>
            <w:tcW w:type="dxa" w:w="2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Intensive first 3 months; then potential for months–years of surveillance only</w:t>
            </w:r>
          </w:p>
        </w:tc>
        <w:tc>
          <w:tcPr>
            <w:tcW w:type="dxa" w:w="17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CAR-T: better long-term QoL if response achieved</w:t>
            </w:r>
          </w:p>
        </w:tc>
      </w:tr>
    </w:tbl>
    <w:p>
      <w:pPr>
        <w:spacing w:after="80"/>
      </w:pPr>
      <w:r>
        <w:t xml:space="preserve"/>
      </w:r>
    </w:p>
    <w:p>
      <w:pPr>
        <w:pStyle w:val="Heading2"/>
        <w:pBdr>
          <w:bottom w:val="single" w:color="2E5FA3" w:sz="4"/>
        </w:pBdr>
        <w:spacing w:after="140" w:before="260"/>
      </w:pPr>
      <w:r>
        <w:rPr>
          <w:rFonts w:ascii="Arial" w:cs="Arial" w:eastAsia="Arial" w:hAnsi="Arial"/>
          <w:b/>
          <w:bCs/>
          <w:i w:val="false"/>
          <w:iCs w:val="false"/>
          <w:color w:val="1F3864"/>
          <w:sz w:val="28"/>
          <w:szCs w:val="28"/>
        </w:rPr>
        <w:t xml:space="preserve">E.2  The Fundamental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4"/>
              <w:left w:val="single" w:color="1D8348" w:sz="4"/>
              <w:bottom w:val="single" w:color="1D8348" w:sz="4"/>
              <w:right w:val="single" w:color="1D8348" w:sz="4"/>
            </w:tcBorders>
            <w:shd w:fill="D5F5E3" w:val="clear"/>
            <w:tcMar>
              <w:top w:type="dxa" w:w="120"/>
              <w:left w:type="dxa" w:w="180"/>
              <w:bottom w:type="dxa" w:w="120"/>
              <w:right w:type="dxa" w:w="180"/>
            </w:tcMar>
          </w:tcPr>
          <w:p>
            <w:pPr>
              <w:spacing w:after="80"/>
            </w:pPr>
            <w:r>
              <w:rPr>
                <w:rFonts w:ascii="Arial" w:cs="Arial" w:eastAsia="Arial" w:hAnsi="Arial"/>
                <w:b/>
                <w:bCs/>
                <w:i w:val="false"/>
                <w:iCs w:val="false"/>
                <w:color w:val="1D8348"/>
                <w:sz w:val="22"/>
                <w:szCs w:val="22"/>
              </w:rPr>
              <w:t xml:space="preserve">The Core Decision: Accessibility Now vs Durability Long-Term</w:t>
            </w:r>
          </w:p>
          <w:p>
            <w:pPr>
              <w:spacing w:after="60"/>
            </w:pPr>
            <w:r>
              <w:rPr>
                <w:rFonts w:ascii="Arial" w:cs="Arial" w:eastAsia="Arial" w:hAnsi="Arial"/>
                <w:b w:val="false"/>
                <w:bCs w:val="false"/>
                <w:i w:val="false"/>
                <w:iCs w:val="false"/>
                <w:color w:val="1D8348"/>
                <w:sz w:val="20"/>
                <w:szCs w:val="20"/>
              </w:rPr>
              <w:t xml:space="preserve">BISPECIFIC PATH (Accessible, begins in weeks, ongoing therapy): Offers ~42–52 months median OS in the best-case scenario (Tec+Dara). Provides disease control now. But requires indefinite therapy, carries continuous infection risk, and outcomes taper more steeply after 3 years.</w:t>
            </w:r>
          </w:p>
          <w:p>
            <w:pPr>
              <w:spacing w:after="60"/>
            </w:pPr>
            <w:r>
              <w:rPr>
                <w:rFonts w:ascii="Arial" w:cs="Arial" w:eastAsia="Arial" w:hAnsi="Arial"/>
                <w:b w:val="false"/>
                <w:bCs w:val="false"/>
                <w:i w:val="false"/>
                <w:iCs w:val="false"/>
                <w:color w:val="1D8348"/>
                <w:sz w:val="20"/>
                <w:szCs w:val="20"/>
              </w:rPr>
              <w:t xml:space="preserve">CAR-T PATH (Harder to access, takes 2–3 months to arrange, one-time treatment): Offers ~54–72 months median OS. Has a meaningful 5-year plateau suggesting some patients achieve functional cure. Requires one intensive acute phase, then allows immune recovery. But access from India requires significant effort and cost.</w:t>
            </w:r>
          </w:p>
          <w:p>
            <w:pPr>
              <w:spacing w:after="60"/>
            </w:pPr>
            <w:r>
              <w:rPr>
                <w:rFonts w:ascii="Arial" w:cs="Arial" w:eastAsia="Arial" w:hAnsi="Arial"/>
                <w:b w:val="false"/>
                <w:bCs w:val="false"/>
                <w:i w:val="false"/>
                <w:iCs w:val="false"/>
                <w:color w:val="1D8348"/>
                <w:sz w:val="20"/>
                <w:szCs w:val="20"/>
              </w:rPr>
              <w:t xml:space="preserve">MIDDLE PATH (Best of both): Use a BCMA bispecific as BRIDGE while arranging CAR-T. Start elranatamab or teclistamab NOW → simultaneously arrange leukapheresis and CAR-T manufacture → receive CAR-T in 3–4 months. This achieves both: early disease control AND eventual definitive CAR-T therapy.</w:t>
            </w:r>
          </w:p>
          <w:p>
            <w:pPr>
              <w:spacing w:after="60"/>
            </w:pPr>
            <w:r>
              <w:rPr>
                <w:rFonts w:ascii="Arial" w:cs="Arial" w:eastAsia="Arial" w:hAnsi="Arial"/>
                <w:b w:val="false"/>
                <w:bCs w:val="false"/>
                <w:i w:val="false"/>
                <w:iCs w:val="false"/>
                <w:color w:val="1D8348"/>
                <w:sz w:val="20"/>
                <w:szCs w:val="20"/>
              </w:rPr>
              <w:t xml:space="preserve">SPECIAL CONSIDERATION — Tec+Dara data (MajesTEC-3): The 83% 3-year OS with this combination is remarkable and PARTIALLY closes the gap with CAR-T. If this combination is accessible via trial or future approval, it may allow a bispecific-first strategy with CAR-T reserved for relapse, without dramatically sacrificing long-term outcomes.</w:t>
            </w:r>
          </w:p>
        </w:tc>
      </w:tr>
    </w:tbl>
    <w:p>
      <w:pPr>
        <w:spacing w:after="80"/>
      </w:pPr>
      <w:r>
        <w:t xml:space="preserve"/>
      </w:r>
    </w:p>
    <w:p>
      <w:pPr>
        <w:pStyle w:val="Heading2"/>
        <w:pBdr>
          <w:bottom w:val="single" w:color="2E5FA3" w:sz="4"/>
        </w:pBdr>
        <w:spacing w:after="140" w:before="260"/>
      </w:pPr>
      <w:r>
        <w:rPr>
          <w:rFonts w:ascii="Arial" w:cs="Arial" w:eastAsia="Arial" w:hAnsi="Arial"/>
          <w:b/>
          <w:bCs/>
          <w:i w:val="false"/>
          <w:iCs w:val="false"/>
          <w:color w:val="1F3864"/>
          <w:sz w:val="28"/>
          <w:szCs w:val="28"/>
        </w:rPr>
        <w:t xml:space="preserve">E.3  Recommended Decision Pathway for This Specific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760"/>
      </w:tblGrid>
      <w:tr>
        <w:trPr>
          <w:tblHeader/>
        </w:trPr>
        <w:tc>
          <w:tcPr>
            <w:tcW w:type="dxa" w:w="20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Priority</w:t>
            </w:r>
          </w:p>
        </w:tc>
        <w:tc>
          <w:tcPr>
            <w:tcW w:type="dxa" w:w="32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Action</w:t>
            </w:r>
          </w:p>
        </w:tc>
        <w:tc>
          <w:tcPr>
            <w:tcW w:type="dxa" w:w="14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Timeframe</w:t>
            </w:r>
          </w:p>
        </w:tc>
        <w:tc>
          <w:tcPr>
            <w:tcW w:type="dxa" w:w="276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Rationale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 — IMMEDIATE (within days)</w:t>
            </w:r>
          </w:p>
        </w:tc>
        <w:tc>
          <w:tcPr>
            <w:tcW w:type="dxa" w:w="3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Start prophylaxis: Acyclovir, IVIG if IgG &lt;4 g/dL, G-CSF, nephrology review</w:t>
            </w:r>
          </w:p>
        </w:tc>
        <w:tc>
          <w:tcPr>
            <w:tcW w:type="dxa" w:w="1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Days</w:t>
            </w:r>
          </w:p>
        </w:tc>
        <w:tc>
          <w:tcPr>
            <w:tcW w:type="dxa" w:w="27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Required before ANY immunotherapy</w:t>
            </w:r>
          </w:p>
        </w:tc>
      </w:tr>
      <w:tr>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 — URGENT (within 1–2 weeks)</w:t>
            </w:r>
          </w:p>
        </w:tc>
        <w:tc>
          <w:tcPr>
            <w:tcW w:type="dxa" w:w="3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Bone marrow biopsy with updated FISH (del17p? t11;14?). Whole body PET/CT or MRI.</w:t>
            </w:r>
          </w:p>
        </w:tc>
        <w:tc>
          <w:tcPr>
            <w:tcW w:type="dxa" w:w="1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1–2 weeks</w:t>
            </w:r>
          </w:p>
        </w:tc>
        <w:tc>
          <w:tcPr>
            <w:tcW w:type="dxa" w:w="27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Determines exact risk stratification and treatment eligibility</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 — PARALLEL (simultaneously with diagnostics)</w:t>
            </w:r>
          </w:p>
        </w:tc>
        <w:tc>
          <w:tcPr>
            <w:tcW w:type="dxa" w:w="3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Contact Janssen India re: teclistamab compassionate use OR trial eligibility at Amrita/Tata Memorial. Contact Janssen/J&amp;J for cilta-cel compassionate use inquiry.</w:t>
            </w:r>
          </w:p>
        </w:tc>
        <w:tc>
          <w:tcPr>
            <w:tcW w:type="dxa" w:w="1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1–2 weeks</w:t>
            </w:r>
          </w:p>
        </w:tc>
        <w:tc>
          <w:tcPr>
            <w:tcW w:type="dxa" w:w="27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CAR-T and bispecific access timelines require early initiation</w:t>
            </w:r>
          </w:p>
        </w:tc>
      </w:tr>
      <w:tr>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 — ONCE DIAGNOSTICS COMPLETE (2–3 weeks)</w:t>
            </w:r>
          </w:p>
        </w:tc>
        <w:tc>
          <w:tcPr>
            <w:tcW w:type="dxa" w:w="3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If del17p absent, t11;14 absent → START elranatamab (preferred) or DPd as immediate disease control while CAR-T is arranged. If t11;14 present → consider venetoclax addition.</w:t>
            </w:r>
          </w:p>
        </w:tc>
        <w:tc>
          <w:tcPr>
            <w:tcW w:type="dxa" w:w="1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2–3 weeks</w:t>
            </w:r>
          </w:p>
        </w:tc>
        <w:tc>
          <w:tcPr>
            <w:tcW w:type="dxa" w:w="27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Disease is actively progressing (FLC 97.65, Ca 10.4) — cannot wait months without treatment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 — MEDIUM-TERM (3–4 months)</w:t>
            </w:r>
          </w:p>
        </w:tc>
        <w:tc>
          <w:tcPr>
            <w:tcW w:type="dxa" w:w="3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If CAR-T access confirmed (China or trial) → plan transition from bispecific to CAR-T after response, OR use talquetamab bridging → CAR-T. If CAR-T not accessible → continue Tec+Dara combination or best available bispecific.</w:t>
            </w:r>
          </w:p>
        </w:tc>
        <w:tc>
          <w:tcPr>
            <w:tcW w:type="dxa" w:w="1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3–4 months</w:t>
            </w:r>
          </w:p>
        </w:tc>
        <w:tc>
          <w:tcPr>
            <w:tcW w:type="dxa" w:w="27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Optimal outcome requires CAR-T access. Bispecific can sustain until CAR-T is ready.</w:t>
            </w:r>
          </w:p>
        </w:tc>
      </w:tr>
      <w:tr>
        <w:tc>
          <w:tcPr>
            <w:tcW w:type="dxa" w:w="20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 — ONGOING</w:t>
            </w:r>
          </w:p>
        </w:tc>
        <w:tc>
          <w:tcPr>
            <w:tcW w:type="dxa" w:w="32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If on Tec+Dara combination: continue until progression. If on CAR-T: monitor MRD every 3–6 months.</w:t>
            </w:r>
          </w:p>
        </w:tc>
        <w:tc>
          <w:tcPr>
            <w:tcW w:type="dxa" w:w="1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Months–years</w:t>
            </w:r>
          </w:p>
        </w:tc>
        <w:tc>
          <w:tcPr>
            <w:tcW w:type="dxa" w:w="27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Long-term monitoring and infectious prophylaxis critical throughout</w:t>
            </w:r>
          </w:p>
        </w:tc>
      </w:tr>
    </w:tbl>
    <w:p>
      <w:pPr>
        <w:spacing w:after="80"/>
      </w:pPr>
      <w:r>
        <w:t xml:space="preserve"/>
      </w:r>
    </w:p>
    <w:p>
      <w:r>
        <w:br w:type="page"/>
      </w:r>
    </w:p>
    <w:p>
      <w:pPr>
        <w:pStyle w:val="Heading1"/>
        <w:shd w:fill="1F3864" w:val="clear"/>
        <w:spacing w:after="180" w:before="300"/>
        <w:ind w:left="200" w:right="200"/>
      </w:pPr>
      <w:r>
        <w:rPr>
          <w:rFonts w:ascii="Arial" w:cs="Arial" w:eastAsia="Arial" w:hAnsi="Arial"/>
          <w:b/>
          <w:bCs/>
          <w:i w:val="false"/>
          <w:iCs w:val="false"/>
          <w:color w:val="FFFFFF"/>
          <w:sz w:val="36"/>
          <w:szCs w:val="36"/>
        </w:rPr>
        <w:t xml:space="preserve">F.  Bottom Line — What the Numbers Mean for This Patient</w:t>
      </w:r>
    </w:p>
    <w:p>
      <w:pPr>
        <w:pStyle w:val="Heading2"/>
        <w:pBdr>
          <w:bottom w:val="single" w:color="2E5FA3" w:sz="4"/>
        </w:pBdr>
        <w:spacing w:after="140" w:before="260"/>
      </w:pPr>
      <w:r>
        <w:rPr>
          <w:rFonts w:ascii="Arial" w:cs="Arial" w:eastAsia="Arial" w:hAnsi="Arial"/>
          <w:b/>
          <w:bCs/>
          <w:i w:val="false"/>
          <w:iCs w:val="false"/>
          <w:color w:val="1F3864"/>
          <w:sz w:val="28"/>
          <w:szCs w:val="28"/>
        </w:rPr>
        <w:t xml:space="preserve">F.1  The Bispecific-Only Path — In Plain Numbers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1600"/>
        <w:gridCol w:w="1560"/>
      </w:tblGrid>
      <w:tr>
        <w:trPr>
          <w:tblHeader/>
        </w:trPr>
        <w:tc>
          <w:tcPr>
            <w:tcW w:type="dxa" w:w="28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Scenario</w:t>
            </w:r>
          </w:p>
        </w:tc>
        <w:tc>
          <w:tcPr>
            <w:tcW w:type="dxa" w:w="24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Expected Median OS from Now (April 2026)</w:t>
            </w:r>
          </w:p>
        </w:tc>
        <w:tc>
          <w:tcPr>
            <w:tcW w:type="dxa" w:w="16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Probability Alive at 2 Years</w:t>
            </w:r>
          </w:p>
        </w:tc>
        <w:tc>
          <w:tcPr>
            <w:tcW w:type="dxa" w:w="160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Probability Alive at 3 Years</w:t>
            </w:r>
          </w:p>
        </w:tc>
        <w:tc>
          <w:tcPr>
            <w:tcW w:type="dxa" w:w="1560"/>
            <w:tcBorders>
              <w:top w:val="single" w:color="1F3864" w:sz="2"/>
              <w:left w:val="single" w:color="1F3864" w:sz="2"/>
              <w:bottom w:val="single" w:color="1F3864" w:sz="2"/>
              <w:right w:val="single" w:color="1F3864" w:sz="2"/>
            </w:tcBorders>
            <w:shd w:fill="1F3864" w:val="clear"/>
            <w:tcMar>
              <w:top w:type="dxa" w:w="90"/>
              <w:left w:type="dxa" w:w="120"/>
              <w:bottom w:type="dxa" w:w="90"/>
              <w:right w:type="dxa" w:w="120"/>
            </w:tcMar>
            <w:vAlign w:val="center"/>
          </w:tcPr>
          <w:p>
            <w:pPr>
              <w:spacing w:after="0"/>
              <w:jc w:val="left"/>
            </w:pPr>
            <w:r>
              <w:rPr>
                <w:rFonts w:ascii="Arial" w:cs="Arial" w:eastAsia="Arial" w:hAnsi="Arial"/>
                <w:b/>
                <w:bCs/>
                <w:color w:val="FFFFFF"/>
                <w:sz w:val="20"/>
                <w:szCs w:val="20"/>
              </w:rPr>
              <w:t xml:space="preserve">Probability Alive at 5 Years</w:t>
            </w:r>
          </w:p>
        </w:tc>
      </w:tr>
      <w:tr>
        <w:tc>
          <w:tcPr>
            <w:tcW w:type="dxa" w:w="28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NO treatment</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6–10 months</w:t>
            </w:r>
          </w:p>
        </w:tc>
        <w:tc>
          <w:tcPr>
            <w:tcW w:type="dxa" w:w="1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~10%</w:t>
            </w:r>
          </w:p>
        </w:tc>
        <w:tc>
          <w:tcPr>
            <w:tcW w:type="dxa" w:w="1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w:t>
            </w:r>
          </w:p>
        </w:tc>
        <w:tc>
          <w:tcPr>
            <w:tcW w:type="dxa" w:w="15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~0%</w:t>
            </w:r>
          </w:p>
        </w:tc>
      </w:tr>
      <w:tr>
        <w:tc>
          <w:tcPr>
            <w:tcW w:type="dxa" w:w="28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DPd (best conventional therapy)</w:t>
            </w:r>
          </w:p>
        </w:tc>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~24–30 months</w:t>
            </w:r>
          </w:p>
        </w:tc>
        <w:tc>
          <w:tcPr>
            <w:tcW w:type="dxa" w:w="1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~45%</w:t>
            </w:r>
          </w:p>
        </w:tc>
        <w:tc>
          <w:tcPr>
            <w:tcW w:type="dxa" w:w="1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~28%</w:t>
            </w:r>
          </w:p>
        </w:tc>
        <w:tc>
          <w:tcPr>
            <w:tcW w:type="dxa" w:w="15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~12%</w:t>
            </w:r>
          </w:p>
        </w:tc>
      </w:tr>
      <w:tr>
        <w:tc>
          <w:tcPr>
            <w:tcW w:type="dxa" w:w="28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Elranatamab → Talquetamab (bispecific path)</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~28–34 months</w:t>
            </w:r>
          </w:p>
        </w:tc>
        <w:tc>
          <w:tcPr>
            <w:tcW w:type="dxa" w:w="1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~55–62%</w:t>
            </w:r>
          </w:p>
        </w:tc>
        <w:tc>
          <w:tcPr>
            <w:tcW w:type="dxa" w:w="1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~30–38%</w:t>
            </w:r>
          </w:p>
        </w:tc>
        <w:tc>
          <w:tcPr>
            <w:tcW w:type="dxa" w:w="15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~15–22%</w:t>
            </w:r>
          </w:p>
        </w:tc>
      </w:tr>
      <w:tr>
        <w:tc>
          <w:tcPr>
            <w:tcW w:type="dxa" w:w="28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Tec+Dara → Talquetamab (BEST bispecific path)</w:t>
            </w:r>
          </w:p>
        </w:tc>
        <w:tc>
          <w:tcPr>
            <w:tcW w:type="dxa" w:w="24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~42–52 months</w:t>
            </w:r>
          </w:p>
        </w:tc>
        <w:tc>
          <w:tcPr>
            <w:tcW w:type="dxa" w:w="1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~80–85%</w:t>
            </w:r>
          </w:p>
        </w:tc>
        <w:tc>
          <w:tcPr>
            <w:tcW w:type="dxa" w:w="160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~72–80%</w:t>
            </w:r>
          </w:p>
        </w:tc>
        <w:tc>
          <w:tcPr>
            <w:tcW w:type="dxa" w:w="1560"/>
            <w:tcBorders>
              <w:top w:val="single" w:color="BBBBBB" w:sz="1"/>
              <w:left w:val="single" w:color="BBBBBB" w:sz="1"/>
              <w:bottom w:val="single" w:color="BBBBBB" w:sz="1"/>
              <w:right w:val="single" w:color="BBBBBB" w:sz="1"/>
            </w:tcBorders>
            <w:shd w:fill="F2F2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~40–55%</w:t>
            </w:r>
          </w:p>
        </w:tc>
      </w:tr>
      <w:tr>
        <w:tc>
          <w:tcPr>
            <w:tcW w:type="dxa" w:w="28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Talquetamab bridge → Cilta-cel CAR-T (BEST overall)</w:t>
            </w:r>
          </w:p>
        </w:tc>
        <w:tc>
          <w:tcPr>
            <w:tcW w:type="dxa" w:w="24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~54–72 months</w:t>
            </w:r>
          </w:p>
        </w:tc>
        <w:tc>
          <w:tcPr>
            <w:tcW w:type="dxa" w:w="1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~80–90%</w:t>
            </w:r>
          </w:p>
        </w:tc>
        <w:tc>
          <w:tcPr>
            <w:tcW w:type="dxa" w:w="1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~70–80%</w:t>
            </w:r>
          </w:p>
        </w:tc>
        <w:tc>
          <w:tcPr>
            <w:tcW w:type="dxa" w:w="15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000000"/>
                <w:sz w:val="20"/>
                <w:szCs w:val="20"/>
              </w:rPr>
              <w:t xml:space="preserve">~45–60%</w:t>
            </w:r>
          </w:p>
        </w:tc>
      </w:tr>
    </w:tbl>
    <w:p>
      <w:pPr>
        <w:spacing w:after="80"/>
      </w:pPr>
      <w:r>
        <w:t xml:space="preserve"/>
      </w:r>
    </w:p>
    <w:p>
      <w:pPr>
        <w:pStyle w:val="Heading2"/>
        <w:pBdr>
          <w:bottom w:val="single" w:color="2E5FA3" w:sz="4"/>
        </w:pBdr>
        <w:spacing w:after="140" w:before="260"/>
      </w:pPr>
      <w:r>
        <w:rPr>
          <w:rFonts w:ascii="Arial" w:cs="Arial" w:eastAsia="Arial" w:hAnsi="Arial"/>
          <w:b/>
          <w:bCs/>
          <w:i w:val="false"/>
          <w:iCs w:val="false"/>
          <w:color w:val="1F3864"/>
          <w:sz w:val="28"/>
          <w:szCs w:val="28"/>
        </w:rPr>
        <w:t xml:space="preserve">F.2  Final Synthesis — The Five Things to Know</w:t>
      </w:r>
    </w:p>
    <w:p>
      <w:pPr>
        <w:pStyle w:val="ListParagraph"/>
        <w:numPr>
          <w:ilvl w:val="0"/>
          <w:numId w:val="2"/>
        </w:numPr>
        <w:spacing w:after="80"/>
      </w:pPr>
      <w:r>
        <w:rPr>
          <w:rFonts w:ascii="Arial" w:cs="Arial" w:eastAsia="Arial" w:hAnsi="Arial"/>
          <w:b/>
          <w:bCs/>
          <w:i w:val="false"/>
          <w:iCs w:val="false"/>
          <w:color w:val="1F3864"/>
          <w:sz w:val="22"/>
          <w:szCs w:val="22"/>
        </w:rPr>
        <w:t xml:space="preserve">1. On bispecific-only path, expect roughly 2.5–4.5 years of overall survival, </w:t>
      </w:r>
      <w:r>
        <w:rPr>
          <w:rFonts w:ascii="Arial" w:cs="Arial" w:eastAsia="Arial" w:hAnsi="Arial"/>
          <w:b w:val="false"/>
          <w:bCs w:val="false"/>
          <w:i w:val="false"/>
          <w:iCs w:val="false"/>
          <w:color w:val="000000"/>
          <w:sz w:val="22"/>
          <w:szCs w:val="22"/>
        </w:rPr>
        <w:t xml:space="preserve">depending on which bispecific combination is used. Elranatamab alone → ~28–34 months. Teclistamab+Daratumumab combination → ~42–52 months. The gap between these two is enormous and depends almost entirely on access.</w:t>
      </w:r>
    </w:p>
    <w:p>
      <w:pPr>
        <w:spacing w:after="80"/>
      </w:pPr>
      <w:r>
        <w:t xml:space="preserve"/>
      </w:r>
    </w:p>
    <w:p>
      <w:pPr>
        <w:pStyle w:val="ListParagraph"/>
        <w:numPr>
          <w:ilvl w:val="0"/>
          <w:numId w:val="2"/>
        </w:numPr>
        <w:spacing w:after="80"/>
      </w:pPr>
      <w:r>
        <w:rPr>
          <w:rFonts w:ascii="Arial" w:cs="Arial" w:eastAsia="Arial" w:hAnsi="Arial"/>
          <w:b/>
          <w:bCs/>
          <w:i w:val="false"/>
          <w:iCs w:val="false"/>
          <w:color w:val="1F3864"/>
          <w:sz w:val="22"/>
          <w:szCs w:val="22"/>
        </w:rPr>
        <w:t xml:space="preserve">2. Talquetamab works best BEFORE BCMA exposure, NOT after. </w:t>
      </w:r>
      <w:r>
        <w:rPr>
          <w:rFonts w:ascii="Arial" w:cs="Arial" w:eastAsia="Arial" w:hAnsi="Arial"/>
          <w:b w:val="false"/>
          <w:bCs w:val="false"/>
          <w:i w:val="false"/>
          <w:iCs w:val="false"/>
          <w:color w:val="000000"/>
          <w:sz w:val="22"/>
          <w:szCs w:val="22"/>
        </w:rPr>
        <w:t xml:space="preserve">If placed after a BCMA bispecific, it only adds ~4–5 months. But if used as a bridge to BCMA CAR-T (the 2025 data strategy), it dramatically improves CAR-T response. The sequence matters more than the drug itself.</w:t>
      </w:r>
    </w:p>
    <w:p>
      <w:pPr>
        <w:spacing w:after="80"/>
      </w:pPr>
      <w:r>
        <w:t xml:space="preserve"/>
      </w:r>
    </w:p>
    <w:p>
      <w:pPr>
        <w:pStyle w:val="ListParagraph"/>
        <w:numPr>
          <w:ilvl w:val="0"/>
          <w:numId w:val="2"/>
        </w:numPr>
        <w:spacing w:after="80"/>
      </w:pPr>
      <w:r>
        <w:rPr>
          <w:rFonts w:ascii="Arial" w:cs="Arial" w:eastAsia="Arial" w:hAnsi="Arial"/>
          <w:b/>
          <w:bCs/>
          <w:i w:val="false"/>
          <w:iCs w:val="false"/>
          <w:color w:val="1F3864"/>
          <w:sz w:val="22"/>
          <w:szCs w:val="22"/>
        </w:rPr>
        <w:t xml:space="preserve">3. The Tec+Dara combination (MajesTEC-3) is a game-changer, </w:t>
      </w:r>
      <w:r>
        <w:rPr>
          <w:rFonts w:ascii="Arial" w:cs="Arial" w:eastAsia="Arial" w:hAnsi="Arial"/>
          <w:b w:val="false"/>
          <w:bCs w:val="false"/>
          <w:i w:val="false"/>
          <w:iCs w:val="false"/>
          <w:color w:val="000000"/>
          <w:sz w:val="22"/>
          <w:szCs w:val="22"/>
        </w:rPr>
        <w:t xml:space="preserve">with 83% 3-year OS and PFS not reached — approaching CAR-T territory. If this patient can access this combination (via trial or compassionate use at Amrita/Apollo), it substantially equalizes the bispecific vs CAR-T decision at the 3-year horizon.</w:t>
      </w:r>
    </w:p>
    <w:p>
      <w:pPr>
        <w:spacing w:after="80"/>
      </w:pPr>
      <w:r>
        <w:t xml:space="preserve"/>
      </w:r>
    </w:p>
    <w:p>
      <w:pPr>
        <w:pStyle w:val="ListParagraph"/>
        <w:numPr>
          <w:ilvl w:val="0"/>
          <w:numId w:val="2"/>
        </w:numPr>
        <w:spacing w:after="80"/>
      </w:pPr>
      <w:r>
        <w:rPr>
          <w:rFonts w:ascii="Arial" w:cs="Arial" w:eastAsia="Arial" w:hAnsi="Arial"/>
          <w:b/>
          <w:bCs/>
          <w:i w:val="false"/>
          <w:iCs w:val="false"/>
          <w:color w:val="1F3864"/>
          <w:sz w:val="22"/>
          <w:szCs w:val="22"/>
        </w:rPr>
        <w:t xml:space="preserve">4. CAR-T (cilta-cel) still offers the best 5-year probability, </w:t>
      </w:r>
      <w:r>
        <w:rPr>
          <w:rFonts w:ascii="Arial" w:cs="Arial" w:eastAsia="Arial" w:hAnsi="Arial"/>
          <w:b w:val="false"/>
          <w:bCs w:val="false"/>
          <w:i w:val="false"/>
          <w:iCs w:val="false"/>
          <w:color w:val="000000"/>
          <w:sz w:val="22"/>
          <w:szCs w:val="22"/>
        </w:rPr>
        <w:t xml:space="preserve">and the only realistic chance of functional cure. The optimal strategy is to use a bispecific as bridge NOW while arranging CAR-T — likely abroad (China ~$150–200K USD) or in a clinical trial at Tata Memorial, AIIMS, or Amrita. The time-to-act is now, while the patient has sufficient performance reserve.</w:t>
      </w:r>
    </w:p>
    <w:p>
      <w:pPr>
        <w:spacing w:after="80"/>
      </w:pPr>
      <w:r>
        <w:t xml:space="preserve"/>
      </w:r>
    </w:p>
    <w:p>
      <w:pPr>
        <w:pStyle w:val="ListParagraph"/>
        <w:numPr>
          <w:ilvl w:val="0"/>
          <w:numId w:val="2"/>
        </w:numPr>
        <w:spacing w:after="80"/>
      </w:pPr>
      <w:r>
        <w:rPr>
          <w:rFonts w:ascii="Arial" w:cs="Arial" w:eastAsia="Arial" w:hAnsi="Arial"/>
          <w:b/>
          <w:bCs/>
          <w:i w:val="false"/>
          <w:iCs w:val="false"/>
          <w:color w:val="1F3864"/>
          <w:sz w:val="22"/>
          <w:szCs w:val="22"/>
        </w:rPr>
        <w:t xml:space="preserve">5. The #1 risk on any bispecific regimen for THIS patient is fatal infection. </w:t>
      </w:r>
      <w:r>
        <w:rPr>
          <w:rFonts w:ascii="Arial" w:cs="Arial" w:eastAsia="Arial" w:hAnsi="Arial"/>
          <w:b w:val="false"/>
          <w:bCs w:val="false"/>
          <w:i w:val="false"/>
          <w:iCs w:val="false"/>
          <w:color w:val="000000"/>
          <w:sz w:val="22"/>
          <w:szCs w:val="22"/>
        </w:rPr>
        <w:t xml:space="preserve">IgM &lt;21 mg/dL with ANC 1.45 is a dangerous immunologic baseline. Before the first bispecific dose, IVIG supplementation, acyclovir prophylaxis, and PCP prophylaxis must be in place. Infection management will determine whether this patient lives 18 months or 48 months on bispecific therapy.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20"/>
              <w:left w:type="dxa" w:w="180"/>
              <w:bottom w:type="dxa" w:w="120"/>
              <w:right w:type="dxa" w:w="180"/>
            </w:tcMar>
          </w:tcPr>
          <w:p>
            <w:pPr>
              <w:spacing w:after="80"/>
            </w:pPr>
            <w:r>
              <w:rPr>
                <w:rFonts w:ascii="Arial" w:cs="Arial" w:eastAsia="Arial" w:hAnsi="Arial"/>
                <w:b/>
                <w:bCs/>
                <w:i w:val="false"/>
                <w:iCs w:val="false"/>
                <w:color w:val="C0392B"/>
                <w:sz w:val="22"/>
                <w:szCs w:val="22"/>
              </w:rPr>
              <w:t xml:space="preserve">Overall Recommendation — Priority Statement</w:t>
            </w:r>
          </w:p>
          <w:p>
            <w:pPr>
              <w:spacing w:after="60"/>
            </w:pPr>
            <w:r>
              <w:rPr>
                <w:rFonts w:ascii="Arial" w:cs="Arial" w:eastAsia="Arial" w:hAnsi="Arial"/>
                <w:b w:val="false"/>
                <w:bCs w:val="false"/>
                <w:i w:val="false"/>
                <w:iCs w:val="false"/>
                <w:color w:val="C0392B"/>
                <w:sz w:val="20"/>
                <w:szCs w:val="20"/>
              </w:rPr>
              <w:t xml:space="preserve">STEP 1 TODAY: Start prophylaxis. Get bone marrow + FISH + imaging.</w:t>
            </w:r>
          </w:p>
          <w:p>
            <w:pPr>
              <w:spacing w:after="60"/>
            </w:pPr>
            <w:r>
              <w:rPr>
                <w:rFonts w:ascii="Arial" w:cs="Arial" w:eastAsia="Arial" w:hAnsi="Arial"/>
                <w:b w:val="false"/>
                <w:bCs w:val="false"/>
                <w:i w:val="false"/>
                <w:iCs w:val="false"/>
                <w:color w:val="C0392B"/>
                <w:sz w:val="20"/>
                <w:szCs w:val="20"/>
              </w:rPr>
              <w:t xml:space="preserve">STEP 2 THIS WEEK: Contact Janssen India for teclistamab + daratumumab (MajesTEC-3 regimen) compassionate use, OR identify any available bispecific antibody trial at Amrita, Tata Memorial, Apollo, or AIIMS.</w:t>
            </w:r>
          </w:p>
          <w:p>
            <w:pPr>
              <w:spacing w:after="60"/>
            </w:pPr>
            <w:r>
              <w:rPr>
                <w:rFonts w:ascii="Arial" w:cs="Arial" w:eastAsia="Arial" w:hAnsi="Arial"/>
                <w:b w:val="false"/>
                <w:bCs w:val="false"/>
                <w:i w:val="false"/>
                <w:iCs w:val="false"/>
                <w:color w:val="C0392B"/>
                <w:sz w:val="20"/>
                <w:szCs w:val="20"/>
              </w:rPr>
              <w:t xml:space="preserve">STEP 3 IMMEDIATELY: Inquire about cilta-cel CAR-T availability — medical tourism to China (Peking Union, Sun Yat-sen, Ruijin) OR clinical trial enrollment in India.</w:t>
            </w:r>
          </w:p>
          <w:p>
            <w:pPr>
              <w:spacing w:after="60"/>
            </w:pPr>
            <w:r>
              <w:rPr>
                <w:rFonts w:ascii="Arial" w:cs="Arial" w:eastAsia="Arial" w:hAnsi="Arial"/>
                <w:b w:val="false"/>
                <w:bCs w:val="false"/>
                <w:i w:val="false"/>
                <w:iCs w:val="false"/>
                <w:color w:val="C0392B"/>
                <w:sz w:val="20"/>
                <w:szCs w:val="20"/>
              </w:rPr>
              <w:t xml:space="preserve">STEP 4 WITHIN 2–3 WEEKS: Begin the best available bispecific as bridge while CAR-T is arranged.</w:t>
            </w:r>
          </w:p>
          <w:p>
            <w:pPr>
              <w:spacing w:after="60"/>
            </w:pPr>
            <w:r>
              <w:rPr>
                <w:rFonts w:ascii="Arial" w:cs="Arial" w:eastAsia="Arial" w:hAnsi="Arial"/>
                <w:b w:val="false"/>
                <w:bCs w:val="false"/>
                <w:i w:val="false"/>
                <w:iCs w:val="false"/>
                <w:color w:val="C0392B"/>
                <w:sz w:val="20"/>
                <w:szCs w:val="20"/>
              </w:rPr>
              <w:t xml:space="preserve">The difference between 28 months (bispecific-only, monotherapy) and 60+ months (CAR-T) is real, large, and determined by decisions made in the next 4–8 weeks.</w:t>
            </w:r>
          </w:p>
        </w:tc>
      </w:tr>
    </w:tbl>
    <w:p>
      <w:pPr>
        <w:spacing w:after="80"/>
      </w:pPr>
      <w:r>
        <w:t xml:space="preserve"/>
      </w:r>
    </w:p>
    <w:p>
      <w:pPr>
        <w:pBdr>
          <w:top w:val="single" w:color="D9D9D9" w:sz="3"/>
        </w:pBdr>
        <w:spacing w:before="200"/>
        <w:jc w:val="center"/>
      </w:pPr>
      <w:r>
        <w:rPr>
          <w:rFonts w:ascii="Arial" w:cs="Arial" w:eastAsia="Arial" w:hAnsi="Arial"/>
          <w:b w:val="false"/>
          <w:bCs w:val="false"/>
          <w:i/>
          <w:iCs/>
          <w:color w:val="777777"/>
          <w:sz w:val="18"/>
          <w:szCs w:val="18"/>
        </w:rPr>
        <w:t xml:space="preserve">Sources: MagnetisMM-3 (Nature Med 2023; HemaSphere 2024 update) | MajesTEC-1 (NEJM 2022; ASCO JCO 2023 follow-up; Haematologica 2025 subgroup) | MajesTEC-3 (GlobeNewswire ASH Dec 2025; Targeted Oncology 2025) | MonumenTAL-1 (Lancet Haematology 2024) | Sequential talquetamab→CAR-T (Blood 2025; ScienceDirect 2025) | Teclistamab + Daratumumab (NEJM 2025) | Elranatamab in CKD (Wiley AJH 2025; MDPI Cancers 2025) | Real-world bispecifics in CKD (ScienceDirect Blood 2025) | CARTITUDE-1 5-year (JCO 2025) | Report: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3"/>
      </w:pBdr>
      <w:spacing w:before="6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i/>
        <w:iCs/>
        <w:color w:val="AAAAAA"/>
        <w:sz w:val="16"/>
        <w:szCs w:val="16"/>
      </w:rPr>
      <w:t xml:space="preserve">  |  For Treating Physician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3"/>
      </w:pBdr>
      <w:spacing w:after="0"/>
    </w:pPr>
    <w:r>
      <w:rPr>
        <w:rFonts w:ascii="Arial" w:cs="Arial" w:eastAsia="Arial" w:hAnsi="Arial"/>
        <w:b w:val="false"/>
        <w:bCs w:val="false"/>
        <w:i/>
        <w:iCs/>
        <w:color w:val="888888"/>
        <w:sz w:val="16"/>
        <w:szCs w:val="16"/>
      </w:rPr>
      <w:t xml:space="preserve">CONFIDENTIAL | Bispecific &amp; CAR-T Pathway Analysis | Vipan Kumar Garg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5FA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2026-04-16T04:02:31.708Z</dcterms:created>
  <dcterms:modified xsi:type="dcterms:W3CDTF">2026-04-16T04:02:31.708Z</dcterms:modified>
</cp:coreProperties>
</file>

<file path=docProps/custom.xml><?xml version="1.0" encoding="utf-8"?>
<Properties xmlns="http://schemas.openxmlformats.org/officeDocument/2006/custom-properties" xmlns:vt="http://schemas.openxmlformats.org/officeDocument/2006/docPropsVTypes"/>
</file>