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May 2026 history-gap correction: Google Drive review now documents the missing 2024-2025 bridge. After the February 2024 relapse and March 2024 CAR-T recommendation, no reviewed record confirms CAR-T was administered. The documented post-relapse regimen was 6 cycles of carfilzomib + daratumumab + zoledronic acid + pomalidomide until 04 Sep 2024, followed by severe AKI/anuria and kidney-biopsy context of post-carfilzomib thrombotic microangiopathy. From Jan 2025, maintenance daratumumab + pomalidomide is documented; on 21 Aug 2025 the patient received Cycle 20 Day 1 maintenance daratumumab plus denosumab, with pomalidomide continued.</w:t>
      </w:r>
    </w:p>
    <w:p>
      <w:pPr>
        <w:spacing w:after="60"/>
      </w:pPr>
      <w:r>
        <w:t xml:space="preserve"/>
      </w:r>
    </w:p>
    <w:p>
      <w:pPr>
        <w:spacing w:after="60"/>
      </w:pPr>
      <w:r>
        <w:t xml:space="preserve"/>
      </w:r>
    </w:p>
    <w:p>
      <w:pPr>
        <w:spacing w:after="60"/>
      </w:pPr>
      <w:r>
        <w:t xml:space="preserve"/>
      </w:r>
    </w:p>
    <w:p>
      <w:pPr>
        <w:shd w:fill="1F3864" w:val="clear"/>
        <w:spacing w:after="0" w:before="0"/>
        <w:ind w:left="0" w:right="0"/>
        <w:jc w:val="center"/>
      </w:pPr>
      <w:r>
        <w:rPr>
          <w:rFonts w:ascii="Arial" w:cs="Arial" w:eastAsia="Arial" w:hAnsi="Arial"/>
          <w:b/>
          <w:bCs/>
          <w:color w:val="FFFFFF"/>
          <w:sz w:val="56"/>
          <w:szCs w:val="56"/>
        </w:rPr>
        <w:t xml:space="preserve">MULTIPLE MYELOMA</w:t>
      </w:r>
    </w:p>
    <w:p>
      <w:pPr>
        <w:shd w:fill="1F3864" w:val="clear"/>
        <w:spacing w:after="0" w:before="0"/>
        <w:jc w:val="center"/>
      </w:pPr>
      <w:r>
        <w:rPr>
          <w:rFonts w:ascii="Arial" w:cs="Arial" w:eastAsia="Arial" w:hAnsi="Arial"/>
          <w:b/>
          <w:bCs/>
          <w:color w:val="A8C8F0"/>
          <w:sz w:val="36"/>
          <w:szCs w:val="36"/>
        </w:rPr>
        <w:t xml:space="preserve">COMPREHENSIVE CLINICAL ANALYSIS</w:t>
      </w:r>
    </w:p>
    <w:p>
      <w:pPr>
        <w:shd w:fill="1F3864" w:val="clear"/>
        <w:spacing w:after="300" w:before="0"/>
        <w:jc w:val="center"/>
      </w:pPr>
      <w:r>
        <w:rPr>
          <w:rFonts w:ascii="Arial" w:cs="Arial" w:eastAsia="Arial" w:hAnsi="Arial"/>
          <w:i/>
          <w:iCs/>
          <w:color w:val="D0E4F7"/>
          <w:sz w:val="28"/>
          <w:szCs w:val="28"/>
        </w:rPr>
        <w:t xml:space="preserve">Expert Hematology-Oncology Review</w:t>
      </w:r>
    </w:p>
    <w:p>
      <w:pPr>
        <w:spacing w:after="60"/>
      </w:pPr>
      <w:r>
        <w:t xml:space="preserve"/>
      </w:r>
    </w:p>
    <w:p>
      <w:pPr>
        <w:spacing w:after="100" w:before="200"/>
        <w:jc w:val="center"/>
      </w:pPr>
      <w:r>
        <w:rPr>
          <w:rFonts w:ascii="Arial" w:cs="Arial" w:eastAsia="Arial" w:hAnsi="Arial"/>
          <w:b/>
          <w:bCs/>
          <w:color w:val="1F3864"/>
          <w:sz w:val="36"/>
          <w:szCs w:val="36"/>
        </w:rPr>
        <w:t xml:space="preserve">Patient: Vipan Kumar Garg</w:t>
      </w:r>
    </w:p>
    <w:p>
      <w:pPr>
        <w:spacing w:after="80"/>
        <w:jc w:val="center"/>
      </w:pPr>
      <w:r>
        <w:rPr>
          <w:rFonts w:ascii="Arial" w:cs="Arial" w:eastAsia="Arial" w:hAnsi="Arial"/>
          <w:b/>
          <w:bCs/>
          <w:color w:val="2E5FA3"/>
          <w:sz w:val="26"/>
          <w:szCs w:val="26"/>
        </w:rPr>
        <w:t xml:space="preserve">Age: 69 years  |  Sex: Male  |  Diagnosis: IgG-Kappa Multiple Myeloma</w:t>
      </w:r>
    </w:p>
    <w:p>
      <w:pPr>
        <w:spacing w:after="80"/>
        <w:jc w:val="center"/>
      </w:pPr>
      <w:r>
        <w:rPr>
          <w:rFonts w:ascii="Arial" w:cs="Arial" w:eastAsia="Arial" w:hAnsi="Arial"/>
          <w:color w:val="555555"/>
          <w:sz w:val="24"/>
          <w:szCs w:val="24"/>
        </w:rPr>
        <w:t xml:space="preserve">Diagnosis Date: June 2022  |  Report Date: April 2026</w:t>
      </w:r>
    </w:p>
    <w:p>
      <w:pPr>
        <w:spacing w:after="80"/>
        <w:jc w:val="center"/>
      </w:pPr>
      <w:r>
        <w:rPr>
          <w:rFonts w:ascii="Arial" w:cs="Arial" w:eastAsia="Arial" w:hAnsi="Arial"/>
          <w:color w:val="666666"/>
          <w:sz w:val="22"/>
          <w:szCs w:val="22"/>
        </w:rPr>
        <w:t xml:space="preserve">Treating Physician: Dr. Pankaj Malhotra (current)  |  Consulting: Dr. Prashant Mehta, Amrita Hospital</w:t>
      </w:r>
    </w:p>
    <w:p>
      <w:pPr>
        <w:spacing w:after="60"/>
      </w:pPr>
      <w:r>
        <w:t xml:space="preserve"/>
      </w:r>
    </w:p>
    <w:p>
      <w:pPr>
        <w:pBdr>
          <w:top w:val="single" w:color="C0392B" w:sz="4"/>
        </w:pBdr>
        <w:spacing w:after="100" w:before="200"/>
        <w:jc w:val="center"/>
      </w:pPr>
      <w:r>
        <w:rPr>
          <w:rFonts w:ascii="Arial" w:cs="Arial" w:eastAsia="Arial" w:hAnsi="Arial"/>
          <w:b/>
          <w:bCs/>
          <w:color w:val="C0392B"/>
          <w:sz w:val="20"/>
          <w:szCs w:val="20"/>
        </w:rPr>
        <w:t xml:space="preserve">CONFIDENTIAL MEDICAL DOCUMENT — FOR TREATING PHYSICIAN USE</w:t>
      </w:r>
    </w:p>
    <w:p>
      <w:pPr>
        <w:spacing w:after="80"/>
        <w:jc w:val="center"/>
      </w:pPr>
      <w:r>
        <w:rPr>
          <w:rFonts w:ascii="Arial" w:cs="Arial" w:eastAsia="Arial" w:hAnsi="Arial"/>
          <w:i/>
          <w:iCs/>
          <w:color w:val="666666"/>
          <w:sz w:val="20"/>
          <w:szCs w:val="20"/>
        </w:rPr>
        <w:t xml:space="preserve">This analysis is based on all available records dated through April 2026. It is intended to support, not replace, the judgment of qualified treating physicians.</w:t>
      </w:r>
    </w:p>
    <w:p>
      <w:r>
        <w:br w:type="page"/>
      </w:r>
    </w:p>
    <w:p>
      <w:pPr>
        <w:pStyle w:val="Heading1"/>
        <w:shd w:fill="1F3864" w:val="clear"/>
        <w:spacing w:after="200" w:before="200"/>
        <w:ind w:left="200" w:right="200"/>
      </w:pPr>
      <w:r>
        <w:rPr>
          <w:rFonts w:ascii="Arial" w:cs="Arial" w:eastAsia="Arial" w:hAnsi="Arial"/>
          <w:b/>
          <w:bCs/>
          <w:color w:val="FFFFFF"/>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1.  Clinical Case Summary</w:t>
      </w:r>
    </w:p>
    <w:p>
      <w:pPr>
        <w:pStyle w:val="Heading2"/>
        <w:pBdr>
          <w:bottom w:val="single" w:color="2E5FA3" w:sz="4"/>
        </w:pBdr>
        <w:spacing w:after="160" w:before="280"/>
      </w:pPr>
      <w:r>
        <w:rPr>
          <w:rFonts w:ascii="Arial" w:cs="Arial" w:eastAsia="Arial" w:hAnsi="Arial"/>
          <w:b/>
          <w:bCs/>
          <w:color w:val="1F3864"/>
          <w:sz w:val="28"/>
          <w:szCs w:val="28"/>
        </w:rPr>
        <w:t xml:space="preserve">1.1  Patient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Parameter</w:t>
            </w:r>
          </w:p>
        </w:tc>
        <w:tc>
          <w:tcPr>
            <w:tcW w:type="dxa" w:w="6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Full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Vipan Kumar Garg (also documented as Vipin Kumar Garg)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Age / Sex</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69 years / Male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Primary Diagnosis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Multiple Myeloma, IgG Kappa type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Date of Diagnosis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June 2022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First Symptoms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Back pain, elevated ESR (90 mm/hr), COVID — April 2022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Primary Treating Center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Max Healthcare, Chandigarh (initial); Amrita Hospital (Dr. Prashant Mehta, consultant); Dr. Pankaj Malhotra (April 2026 referral)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Family History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Mother — multiple myeloma; Maternal uncle — multiple myeloma (strong familial clustering)</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1.2  Comorbidities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Condition</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Duration / Details</w:t>
            </w:r>
          </w:p>
        </w:tc>
        <w:tc>
          <w:tcPr>
            <w:tcW w:type="dxa" w:w="4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Relevance to Myeloma Management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Asthma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 years; on Foracort 200 inhaler + Montair LC</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Limits some drug options; corticosteroid requirement must be balanced; high-dose dexamethasone acceptable short-term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Hypertension</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 years; Telmisartan 40 mg daily</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Carfilzomib carries cardiovascular/HTN risk — extra caution needed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Pre-diabetes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Identified Jan 2022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Corticosteroids worsen glycemia; monitor blood glucose during dexamethasone pulses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Thyroid disorder</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Duration unspecified; described as controlled</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Monitor TSH; may interact with some drug metabolisms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Benign prostatic enlargement (BPH)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Active; Alfuzosin 10 mg daily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Relevant during renal episodes; watch urinary retention with anticholinergics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Chronic Kidney Disease (CKD) G3b</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eGFR ~40 mL/min/1.73m² (April 2026)</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MAJOR CONSTRAINT — limits carfilzomib, affects drug dosing, raises infection and AKI risk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Prior severe AKI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September 2024 hospitalization (creatinine up to 6.3 mg/dL)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Established susceptibility to renal insults; avoid nephrotoxic drugs</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1.3  Treatment History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000"/>
        <w:gridCol w:w="196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Period</w:t>
            </w:r>
          </w:p>
        </w:tc>
        <w:tc>
          <w:tcPr>
            <w:tcW w:type="dxa" w:w="4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Regimen / Event</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Best Response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First-line induction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Jun 2022 – Oct 2022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DaraVCD: Daratumumab + Bortezomib + Cyclophosphamide + Dexamethasone (lenalidomide was substituted with cyclophosphamide early due to thrombocytopenia). 5 cycles total.</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MRD-negative complete remission by December 2022</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Bone support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Jun 2022 – ongoing</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Zoledronic acid (quarterly)</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Skeletal stabilization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Maintenance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Jan 2023 – late 2023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Bortezomib biweekly + zoledronic acid quarterly</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MRD still negative August 2023</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Biochemical relapse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Dec 2023 – Jan 2024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Rising kappa FLC (56.82 → 92.94 mg/L); M-spike returning</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Treatment now documented after relapse: carfilzomib + daratumumab + zoledronic acid + pomalidomide until 04 Sep 2024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Confirmed relapse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Feb 2024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Bone marrow: MRD positive (0.1% aberrant plasma cells, kappa-restricted). PET/CT: Active lytic lesions, rib fractures, D6 vertebral collapse.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First relapse from MRD-negative remission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recommendation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March 2024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cell therapy recommended. ASCT was not considered eligible.</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yet documented as administered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crisis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September 2024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Medanta hospitalization: AKI (Cr up to 6.3 mg/dL), severe anemia (Hgb 7.6-8.0), thrombocytopenia, bilateral pleural effusions, troponin elevation.</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Recovered partially; CKD G3b persisted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Monitoring phase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Nov 2024 – Aug 2025</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Persistent low-level IgG-kappa monoclonal protein. Treatment regimen(s) during this period NOT clearly documented.</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Disease active but not aggressively progressing until Aug 2025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Current — April 2026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April 2026</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Worsening biochemical disease: kappa FLC 97.65 mg/L (up from 38.71 in Aug 2025). M-spike ~0.2 g/dL. Hypercalcemia, cytopenias, CKD G3b persistent.</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Active relapsed/refractory disease — requires urgent reassessment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20"/>
              <w:left w:type="dxa" w:w="180"/>
              <w:bottom w:type="dxa" w:w="120"/>
              <w:right w:type="dxa" w:w="180"/>
            </w:tcMar>
          </w:tcPr>
          <w:p>
            <w:pPr>
              <w:spacing w:after="80"/>
            </w:pPr>
            <w:r>
              <w:rPr>
                <w:rFonts w:ascii="Arial" w:cs="Arial" w:eastAsia="Arial" w:hAnsi="Arial"/>
                <w:b/>
                <w:bCs/>
                <w:color w:val="7D5A00"/>
                <w:sz w:val="22"/>
                <w:szCs w:val="22"/>
              </w:rPr>
              <w:t xml:space="preserve">⚠  CRITICAL GAP IN TREATMENT RECORD</w:t>
            </w:r>
          </w:p>
          <w:p>
            <w:pPr>
              <w:spacing w:after="60"/>
            </w:pPr>
            <w:r>
              <w:rPr>
                <w:rFonts w:ascii="Arial" w:cs="Arial" w:eastAsia="Arial" w:hAnsi="Arial"/>
                <w:color w:val="5A4000"/>
                <w:sz w:val="20"/>
                <w:szCs w:val="20"/>
              </w:rPr>
              <w:t>The prior treatment-history gap is now partly filled: Drive records document 6 cycles of carfilzomib + daratumumab + zoledronic acid + pomalidomide until 04 Sep 2024, followed by maintenance daratumumab + pomalidomide from Jan 2025.</w:t>
            </w:r>
          </w:p>
          <w:p>
            <w:pPr>
              <w:spacing w:after="60"/>
            </w:pPr>
            <w:r>
              <w:rPr>
                <w:rFonts w:ascii="Arial" w:cs="Arial" w:eastAsia="Arial" w:hAnsi="Arial"/>
                <w:color w:val="5A4000"/>
                <w:sz w:val="20"/>
                <w:szCs w:val="20"/>
              </w:rPr>
              <w:t>The remaining open question is not whether a salvage regimen was used, but whether CAR-T or any clinical-trial/bispecific therapy was ever given. The reviewed records do not confirm CAR-T.</w:t>
            </w:r>
          </w:p>
          <w:p>
            <w:pPr>
              <w:spacing w:after="60"/>
            </w:pPr>
            <w:r>
              <w:rPr>
                <w:rFonts w:ascii="Arial" w:cs="Arial" w:eastAsia="Arial" w:hAnsi="Arial"/>
                <w:color w:val="5A4000"/>
                <w:sz w:val="20"/>
                <w:szCs w:val="20"/>
              </w:rPr>
              <w:t xml:space="preserve">The kappa FLC rising from 38.71 (Aug 2025) to 97.65 mg/L (April 2026) — a 152% increase in 8 months — represents clear biochemical disease progression and demands immediate clinical action.</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2.  Key Findings From Reports</w:t>
      </w:r>
    </w:p>
    <w:p>
      <w:pPr>
        <w:pStyle w:val="Heading2"/>
        <w:pBdr>
          <w:bottom w:val="single" w:color="2E5FA3" w:sz="4"/>
        </w:pBdr>
        <w:spacing w:after="160" w:before="280"/>
      </w:pPr>
      <w:r>
        <w:rPr>
          <w:rFonts w:ascii="Arial" w:cs="Arial" w:eastAsia="Arial" w:hAnsi="Arial"/>
          <w:b/>
          <w:bCs/>
          <w:color w:val="1F3864"/>
          <w:sz w:val="28"/>
          <w:szCs w:val="28"/>
        </w:rPr>
        <w:t xml:space="preserve">2.1  April 2026 Laboratory Panel — Complete Review</w:t>
      </w:r>
    </w:p>
    <w:p>
      <w:pPr>
        <w:spacing w:after="120"/>
      </w:pPr>
      <w:r>
        <w:rPr>
          <w:rFonts w:ascii="Arial" w:cs="Arial" w:eastAsia="Arial" w:hAnsi="Arial"/>
          <w:b/>
          <w:bCs/>
          <w:color w:val="2E5FA3"/>
          <w:sz w:val="20"/>
          <w:szCs w:val="20"/>
        </w:rPr>
        <w:t xml:space="preserve">Lab Date: April 13-15, 2026 | Reporting Lab: Lal PathLabs (Chandigarh + National Reference Lab, New Delhi)</w:t>
      </w:r>
    </w:p>
    <w:p>
      <w:pPr>
        <w:spacing w:after="60"/>
      </w:pPr>
      <w:r>
        <w:t xml:space="preserve"/>
      </w:r>
    </w:p>
    <w:p>
      <w:pPr>
        <w:pStyle w:val="Heading3"/>
        <w:spacing w:after="120" w:before="200"/>
      </w:pPr>
      <w:r>
        <w:rPr>
          <w:rFonts w:ascii="Arial" w:cs="Arial" w:eastAsia="Arial" w:hAnsi="Arial"/>
          <w:b/>
          <w:bCs/>
          <w:color w:val="2E5FA3"/>
          <w:sz w:val="24"/>
          <w:szCs w:val="24"/>
        </w:rPr>
        <w:t xml:space="preserve">Complete Blood Count (CBC)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400"/>
        <w:gridCol w:w="1400"/>
        <w:gridCol w:w="3260"/>
      </w:tblGrid>
      <w:tr>
        <w:trPr>
          <w:tblHeader/>
        </w:trPr>
        <w:tc>
          <w:tcPr>
            <w:tcW w:type="dxa" w:w="2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Test</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Result</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Reference Range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Flag</w:t>
            </w:r>
          </w:p>
        </w:tc>
        <w:tc>
          <w:tcPr>
            <w:tcW w:type="dxa" w:w="32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Clinical Significance</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Hemoglobin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12.40 g/dL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13.00–17.00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normocytic/macrocytic anemia. Multifactorial: CKD-related (reduced erythropoietin), myeloma infiltration, prior treatment effects.</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PCV</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36.70%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40.00–50.00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Consistent with mild anemia</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RBC Count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3.80 mill/mm³</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4.50–5.50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Reduced red cell mass</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MCV</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96.60 fL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83–101</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High-normal (macrocytic tendency) — can be seen with myeloma, B12/folate deficiency, or prior lenalidomide/cyclophosphamide effect</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MCH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32.80 pg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27–32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Mildly elevated; macrocytic anemia pattern</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RDW</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16.00%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11.6–14.0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Elevated RDW indicates mixed or heterogeneous red cell population — suggests either combined iron deficiency + B12 deficiency, or multifactorial anemia</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TLC (WBC)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3.60 thou/mm³</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4.00–10.00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 Leucopenia</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Leucopenia — concerning in the context of myeloma and prior therapy. Increases infection risk.</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ANC</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1.45 thou/mm³</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2.00–7.00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 Neutropenia</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Grade 1 neutropenia (CTCAE). ANC &lt;1.5 doubles infection risk. This is likely disease-related AND treatment-related. G-CSF should be considered if initiating new therapy.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Monocytes %</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14.60%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Monocytosis — reactive pattern, often seen with infections, inflammation, or post-treatment marrow recovery. Less likely clonal.</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Eosinophils %</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8.40%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1–6%</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eosinophilia — consider drug reaction, asthma, or myeloma-related inflammation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Platelet Count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110 thou/mm³</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150–410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 Thrombocytopenia</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Mild-moderate thrombocytopenia. Giant platelets noted (suggests compensatory platelet production). Risk of bleeding if &lt;50. Watch during any new cytotoxic therapy.</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MPV</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12.7 fL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6.5–12.0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mean platelet volume confirms compensatory megakaryopoiesis — marrow attempting to recover platelet production</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Kidney Function and Metabolic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400"/>
        <w:gridCol w:w="33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Test</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Result</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Reference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Flag</w:t>
            </w:r>
          </w:p>
        </w:tc>
        <w:tc>
          <w:tcPr>
            <w:tcW w:type="dxa" w:w="3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Clinical Significance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Creatinine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1.81 mg/dL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0.70–1.30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Established CKD. Stable compared to Feb 2025 (1.82) and Aug 2025 (1.71), suggesting chronic plateau rather than acute deterioration at this moment.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eGFR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40 mL/min/1.73m²</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&gt;59</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 G3b CKD</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KDIGO Stage G3b. This is a critical prognostic factor for drug dosing and eligibility for certain therapies. CAR-T eligibility requires nephrology assessment.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Urea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47 mg/dL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17–49</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High-normal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Upper limit of normal; watch trend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BUN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21.95 mg/dL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8–23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BUN/creatinine ratio of 12 — suggests adequate protein intake and no prerenal azotemia currently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Calcium (Total)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10.40 mg/dL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8.80–10.20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HYPERCALCEMIA — confirmed twice (lab noted 'rechecked'). This is a CRAB criterion (Calcium) and is likely myeloma-driven through osteoclast activation. Requires clinical correlation and repeat testing.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Phosphorus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4.20 mg/dL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2.30–3.70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Hyperphosphatemia — consistent with CKD (reduced phosphate excretion). Also seen in cell turnover states. Monitor Ca x P product.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Potassium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5.54 mEq/L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3.50–5.10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Hyperkalemia — CKD-related. Lab confirmed this value. Risk of arrhythmia. Dietary potassium restriction and nephrology management essential. AVOID drugs that further raise potassium.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Uric Acid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6.20 mg/dL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3.5–7.2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Acceptable; monitor if initiating cytotoxic therapy due to tumor lysis risk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Albumin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4.60 g/dL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3.20–4.60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Upper normal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albumin is a positive prognostic indicator — adequate nutritional status and hepatic function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Sodium</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141 mEq/L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136–145</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watch during selinexor therapy if used (causes hyponatremia)</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Myeloma-Specific Markers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200"/>
        <w:gridCol w:w="23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Test</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Result</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Reference / Target</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Flag</w:t>
            </w:r>
          </w:p>
        </w:tc>
        <w:tc>
          <w:tcPr>
            <w:tcW w:type="dxa" w:w="2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Clinical Significance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Kappa Free Light Chain (FLC)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97.65 mg/L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3.30–19.40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MARKEDLY ELEVATED and rising sharply. Up from 38.71 in Aug 2025 — a 152% increase in 8 months. This is the primary biochemical signal of disease progression.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Lambda Free Light Chain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22.36 mg/L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5.71–26.30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lambda — confirms the elevated kappa is monoclonal, not polyclonal reactive rise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Kappa/Lambda Ratio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4.367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0.26–1.65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Abnormal and worsening vs Aug 2025 (2.335). Confirms progressive monoclonal kappa production. Note: ratio of 4.367 is NOT at myeloma-defining threshold of &gt;100 (with involved FLC ≥100 mg/L), but it is clearly abnormal.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SPEP — M-spike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 g/dL (gamma region)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None expected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PRESENT ↑</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Persistent IgG-kappa monoclonal band. Has been consistently ~0.1-0.2 g/dL since the relapse in 2024.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IFE (Immunofixation)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IgG Kappa — confirmed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Negative expected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POSITIVE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Confirms IgG-kappa myeloma protein. Second nearby band also IgG-kappa ('isomer') — may represent free light chain oligomerization.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IgG (total)</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752 mg/dL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650–1600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range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Within reference range, but context matters: an active IgG myeloma should NOT have a normal total IgG unless the monoclonal protein is small, which aligns with the small M-spike.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&lt;21 mg/dL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50–300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 Suppressed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SEVERE immunoparesis. IgM &lt;21 indicates profound suppression of normal immunoglobulin production — a hallmark of active myeloma. Markedly raises infection risk, especially encapsulated bacteria (pneumococcus, H. influenzae).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88.40 mg/dL</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40–350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range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Beta-2 Microglobulin (B2M)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measured April 2026 (last: 10,244 ng/mL Aug 2025)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 &lt;2,500 ng/mL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HIGH ↑↑</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B2M 10,244 ng/mL in August 2025 is extraordinarily elevated. Note: CKD G3b inflates B2M. However, values this extreme indicate either massive myeloma burden, severe renal failure, or both. Requires clinical correlation.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LDH</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measured April 2026 (last: 201 U/L in Feb 2025)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Borderline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201 U/L was within normal limits in Feb 2025. Should be rechecked.</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2.2  Longitudinal Disease Marker Trend — Critical Overview</w:t>
      </w:r>
    </w:p>
    <w:p>
      <w:pPr>
        <w:spacing w:after="120"/>
      </w:pPr>
      <w:r>
        <w:rPr>
          <w:rFonts w:ascii="Arial" w:cs="Arial" w:eastAsia="Arial" w:hAnsi="Arial"/>
          <w:b/>
          <w:bCs/>
          <w:color w:val="1F3864"/>
          <w:sz w:val="22"/>
          <w:szCs w:val="22"/>
        </w:rPr>
        <w:t xml:space="preserve">The following table tracks the disease trajectory from diagnosis through the most recent report. Read left to right to follow progression and relapse: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1100"/>
        <w:gridCol w:w="1200"/>
        <w:gridCol w:w="1000"/>
        <w:gridCol w:w="1300"/>
        <w:gridCol w:w="1160"/>
      </w:tblGrid>
      <w:tr>
        <w:trPr>
          <w:tblHeader/>
        </w:trP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Date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Kappa FLC (mg/L)</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K/L Ratio</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M-Spike (g/dL)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Hemoglobin (g/dL)</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Platelets</w:t>
            </w:r>
          </w:p>
        </w:tc>
        <w:tc>
          <w:tcPr>
            <w:tcW w:type="dxa" w:w="1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Creatinine (mg/dL)</w:t>
            </w:r>
          </w:p>
        </w:tc>
        <w:tc>
          <w:tcPr>
            <w:tcW w:type="dxa" w:w="1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Jun 2022 (Dx)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857.95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48.15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Diagnosis — very high burden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Jul 2022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16.97</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1.45</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Rapid treatment response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Dec 2022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~normal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148</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0.98</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MRD-negative complete remission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Feb 2023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8.08</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1.93</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0.04</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Deep response, maintenance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Aug 2023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23.08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1.82</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faint band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143</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1.30</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MRD-negative — still in remission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Dec 2023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56.82</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3.29</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0.24</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10.4</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199</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1.32</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BIOCHEMICAL RELAPSE begins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Jan 2024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92.94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5.065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Relapse strengthens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Feb 2024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BM MRD+ 0.1%; PET/CT active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Sep 2024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7.6–8.0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111–118</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3.2–6.3</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SEVERE AKI HOSPITALIZATION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Nov 2024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20.31</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2.801</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~0.1</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Post-crisis — lower burden?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Feb 2025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46.57</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3.096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11.9</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167</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1.82</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Persistent relapsed disease</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Aug 2025</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38.71</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2.335</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~0.1</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11.10</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141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1.71</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Slight improvement / plateau</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Apr 2026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97.65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4.367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~0.2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12.40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1.81</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WORSENING — Active progression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Key Pattern Interpretation</w:t>
            </w:r>
          </w:p>
          <w:p>
            <w:pPr>
              <w:spacing w:after="60"/>
            </w:pPr>
            <w:r>
              <w:rPr>
                <w:rFonts w:ascii="Arial" w:cs="Arial" w:eastAsia="Arial" w:hAnsi="Arial"/>
                <w:color w:val="1F3864"/>
                <w:sz w:val="20"/>
                <w:szCs w:val="20"/>
              </w:rPr>
              <w:t xml:space="preserve">The disease showed excellent early sensitivity: kappa FLC fell from 857 to 16 mg/L within weeks of starting DaraVCD.</w:t>
            </w:r>
          </w:p>
          <w:p>
            <w:pPr>
              <w:spacing w:after="60"/>
            </w:pPr>
            <w:r>
              <w:rPr>
                <w:rFonts w:ascii="Arial" w:cs="Arial" w:eastAsia="Arial" w:hAnsi="Arial"/>
                <w:color w:val="1F3864"/>
                <w:sz w:val="20"/>
                <w:szCs w:val="20"/>
              </w:rPr>
              <w:t xml:space="preserve">MRD-negative remission lasted approximately 15 months (December 2022 to March 2024 relapse confirmation).</w:t>
            </w:r>
          </w:p>
          <w:p>
            <w:pPr>
              <w:spacing w:after="60"/>
            </w:pPr>
            <w:r>
              <w:rPr>
                <w:rFonts w:ascii="Arial" w:cs="Arial" w:eastAsia="Arial" w:hAnsi="Arial"/>
                <w:color w:val="1F3864"/>
                <w:sz w:val="20"/>
                <w:szCs w:val="20"/>
              </w:rPr>
              <w:t xml:space="preserve">Biochemical relapse started December 2023 while the patient was on bortezomib maintenance — suggesting bortezomib-refractory relapse.</w:t>
            </w:r>
          </w:p>
          <w:p>
            <w:pPr>
              <w:spacing w:after="60"/>
            </w:pPr>
            <w:r>
              <w:rPr>
                <w:rFonts w:ascii="Arial" w:cs="Arial" w:eastAsia="Arial" w:hAnsi="Arial"/>
                <w:color w:val="1F3864"/>
                <w:sz w:val="20"/>
                <w:szCs w:val="20"/>
              </w:rPr>
              <w:t xml:space="preserve">From late 2024 onwards, the disease appears to have persisted at a low but smoldering level, without ever achieving a new remission.</w:t>
            </w:r>
          </w:p>
          <w:p>
            <w:pPr>
              <w:spacing w:after="60"/>
            </w:pPr>
            <w:r>
              <w:rPr>
                <w:rFonts w:ascii="Arial" w:cs="Arial" w:eastAsia="Arial" w:hAnsi="Arial"/>
                <w:color w:val="1F3864"/>
                <w:sz w:val="20"/>
                <w:szCs w:val="20"/>
              </w:rPr>
              <w:t xml:space="preserve">In April 2026, the kappa FLC jump from 38.71 (Aug 2025) to 97.65 mg/L is a critical escalation, approaching the myeloma-defining threshold of 100 mg/L.</w:t>
            </w:r>
          </w:p>
          <w:p>
            <w:pPr>
              <w:spacing w:after="60"/>
            </w:pPr>
            <w:r>
              <w:rPr>
                <w:rFonts w:ascii="Arial" w:cs="Arial" w:eastAsia="Arial" w:hAnsi="Arial"/>
                <w:color w:val="1F3864"/>
                <w:sz w:val="20"/>
                <w:szCs w:val="20"/>
              </w:rPr>
              <w:t xml:space="preserve">Mild hypercalcemia (10.4 mg/dL) in April 2026 is a new CRAB criterion that was not prominently present in prior reports — this is concerning.</w:t>
            </w:r>
          </w:p>
          <w:p>
            <w:pPr>
              <w:spacing w:after="60"/>
            </w:pPr>
            <w:r>
              <w:rPr>
                <w:rFonts w:ascii="Arial" w:cs="Arial" w:eastAsia="Arial" w:hAnsi="Arial"/>
                <w:color w:val="1F3864"/>
                <w:sz w:val="20"/>
                <w:szCs w:val="20"/>
              </w:rPr>
              <w:t xml:space="preserve">Pancytopenia (Hgb 12.4, Plt 110, ANC 1.45) is worsening, likely reflecting marrow infiltration plus treatment effects.</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3.  Risk Stratification and Disease Assessment</w:t>
      </w:r>
    </w:p>
    <w:p>
      <w:pPr>
        <w:pStyle w:val="Heading2"/>
        <w:pBdr>
          <w:bottom w:val="single" w:color="2E5FA3" w:sz="4"/>
        </w:pBdr>
        <w:spacing w:after="160" w:before="280"/>
      </w:pPr>
      <w:r>
        <w:rPr>
          <w:rFonts w:ascii="Arial" w:cs="Arial" w:eastAsia="Arial" w:hAnsi="Arial"/>
          <w:b/>
          <w:bCs/>
          <w:color w:val="1F3864"/>
          <w:sz w:val="28"/>
          <w:szCs w:val="28"/>
        </w:rPr>
        <w:t xml:space="preserve">3.1  ISS / R-ISS Staging at Diagnosis (June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Staging System</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Criteria</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Patient Values</w:t>
            </w:r>
          </w:p>
        </w:tc>
        <w:tc>
          <w:tcPr>
            <w:tcW w:type="dxa" w:w="1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Stage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ISS (International Staging System)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B2M 3.5–5.5 µg/mL + albumin ≥3.5 g/dL = ISS II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B2M: 4.806 µg/mL; Albumin: adequate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ISS STAGE II</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R-ISS (Revised ISS)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ISS II + no del(17p), no t(4;14)/(14;16) + LDH normal = R-ISS II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 high-risk translocations documented at diagnosis; 1q gain present but not independently sufficient for R-ISS III; LDH not reported at diagnosis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R-ISS STAGE II (per available data)</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3.2  FISH / Cytogenetics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Abnormality</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 at Diagnosis (Jun 2022)</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Prognostic Significance</w:t>
            </w:r>
          </w:p>
        </w:tc>
        <w:tc>
          <w:tcPr>
            <w:tcW w:type="dxa" w:w="1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Updated Risk Classification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1q21 gain (CKS1B)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PRESENT — ~10% of cells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Intermediate-to-high risk. Associated with inferior PFS and OS. BOSTON trial (selinexor) and isatuximab trials showed specific benefit. Note: only 10% of cells harbored this — lower frequency may indicate a minor subclone, potentially with different kinetics.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Intermediate-High Risk Feature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1p32 deletion (CDKN2C)</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PRESENT — ~10% of cells (paired with 1q gain)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Co-occurrence of 1q gain + 1p deletion is associated with poorer outcomes than 1q gain alone. Acts as a tumor suppressor deletion.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Risk Feature (when paired with 1q)</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del(17p) / TP53 deletion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 at diagnosis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Most adverse single cytogenetic finding in myeloma. Absence at diagnosis is favorable.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 — favorable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t(4;14) — FGFR3/MMSET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High-risk translocation. Absence is favorable.</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t(14;16) — MAF</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High-risk translocation. Absence is favorable.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detected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t(11;14) — BCL2/CCND1</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tested / not documented</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Relevant for venetoclax sensitivity. Absence would exclude venetoclax as option.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UNKNOWN — needs testing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Hyperdiploidy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documented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If present, generally favorable risk. Important to assess.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UNKNOWN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4"/>
              <w:bottom w:val="single" w:color="FFC107" w:sz="4"/>
              <w:right w:val="single" w:color="FFC107" w:sz="4"/>
            </w:tcBorders>
            <w:shd w:fill="FFF3CD" w:val="clear"/>
            <w:tcMar>
              <w:top w:type="dxa" w:w="120"/>
              <w:left w:type="dxa" w:w="180"/>
              <w:bottom w:type="dxa" w:w="120"/>
              <w:right w:type="dxa" w:w="180"/>
            </w:tcMar>
          </w:tcPr>
          <w:p>
            <w:pPr>
              <w:spacing w:after="80"/>
            </w:pPr>
            <w:r>
              <w:rPr>
                <w:rFonts w:ascii="Arial" w:cs="Arial" w:eastAsia="Arial" w:hAnsi="Arial"/>
                <w:b/>
                <w:bCs/>
                <w:color w:val="7D5A00"/>
                <w:sz w:val="22"/>
                <w:szCs w:val="22"/>
              </w:rPr>
              <w:t xml:space="preserve">⚠  Important Cytogenetic Note</w:t>
            </w:r>
          </w:p>
          <w:p>
            <w:pPr>
              <w:spacing w:after="60"/>
            </w:pPr>
            <w:r>
              <w:rPr>
                <w:rFonts w:ascii="Arial" w:cs="Arial" w:eastAsia="Arial" w:hAnsi="Arial"/>
                <w:color w:val="5A4000"/>
                <w:sz w:val="20"/>
                <w:szCs w:val="20"/>
              </w:rPr>
              <w:t xml:space="preserve">The FISH was performed at diagnosis in June 2022. It has NOT been repeated since (the 2024 relapse bone marrow report documented MRD positivity but FISH results at relapse are not in the available records).</w:t>
            </w:r>
          </w:p>
          <w:p>
            <w:pPr>
              <w:spacing w:after="60"/>
            </w:pPr>
            <w:r>
              <w:rPr>
                <w:rFonts w:ascii="Arial" w:cs="Arial" w:eastAsia="Arial" w:hAnsi="Arial"/>
                <w:color w:val="5A4000"/>
                <w:sz w:val="20"/>
                <w:szCs w:val="20"/>
              </w:rPr>
              <w:t xml:space="preserve">Cytogenetic evolution is common at relapse in myeloma. Specifically, del(17p) can emerge as an acquired event. If del(17p) has emerged, this would reclassify the patient to ultra-high risk and significantly change the treatment priority.</w:t>
            </w:r>
          </w:p>
          <w:p>
            <w:pPr>
              <w:spacing w:after="60"/>
            </w:pPr>
            <w:r>
              <w:rPr>
                <w:rFonts w:ascii="Arial" w:cs="Arial" w:eastAsia="Arial" w:hAnsi="Arial"/>
                <w:color w:val="5A4000"/>
                <w:sz w:val="20"/>
                <w:szCs w:val="20"/>
              </w:rPr>
              <w:t xml:space="preserve">Repeat bone marrow biopsy with FISH should be performed urgently to assess for clonal evolution.</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3.3  Overall Risk Classification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 Domain</w:t>
            </w:r>
          </w:p>
        </w:tc>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Assessment</w:t>
            </w:r>
          </w:p>
        </w:tc>
        <w:tc>
          <w:tcPr>
            <w:tcW w:type="dxa" w:w="38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Implication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Disease biology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IgG-kappa, ISS II/R-ISS II at diagnosis. 1q gain + 1p deletion present. No del(17p)/t(4;14)/(14;16) at diagnosis. Cytogenetics not updated at relapse.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Intermediate-high risk at baseline; unknown if evolved to high-risk</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Treatment exposure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Daratumumab-exposed (1L), bortezomib-exposed AND relapsed on bortezomib maintenance. Lenalidomide minimally exposed (discontinued early — thrombocytopenia). 1st relapse from MRD-negative remission.</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Dara/bortezomib double-class exposure. Lenalidomide NOT truly refractory — important distinction for next-line options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Transplant status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transplanted — deemed ineligible in March 2024</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 autologous stem cell reservoir 'used'; CAR-T still possible via leukapheresis if eligible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function</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CKD G3b (eGFR 40); history of severe AKI (creatinine 6.3 in Sept 2024)</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Limits carfilzomib, requires dose adjustments, increases toxicity risk from many agents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Age and performance status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69 years. Performance status not formally documented in available records.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Potentially eligible for most therapies including CAR-T (age is not an absolute contraindication at 69)</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Hematologic reserve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anemia (Hgb 12.4), moderate thrombocytopenia (Plt 110), neutropenia (ANC 1.45)</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Limits depth of cytotoxic therapy; G-CSF support needed; platelet transfusion threshold planning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Infection risk</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IgM &lt;21 mg/dL (severe immunoparesis); neutropenia; prior pulmonary abnormalities on 2024 PET/CT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INFECTION RISK. IVIG supplementation likely indicated. Prophylactic antivirals (acyclovir) and antibacterial/antifungal coverage mandatory with any new immunotherapy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Metabolic status</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hypercalcemia (10.4 mg/dL), hyperkalemia (5.54 mEq/L), hyperphosphatemia</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Active CRAB feature (calcium). May require bisphosphonate intensification; avoid volume depletion</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4.  Most Relevant Treatment Options for This Patient</w:t>
      </w:r>
    </w:p>
    <w:p>
      <w:pPr>
        <w:spacing w:after="120"/>
      </w:pPr>
      <w:r>
        <w:rPr>
          <w:rFonts w:ascii="Arial" w:cs="Arial" w:eastAsia="Arial" w:hAnsi="Arial"/>
          <w:b/>
          <w:bCs/>
          <w:color w:val="C0392B"/>
          <w:sz w:val="22"/>
          <w:szCs w:val="22"/>
        </w:rPr>
        <w:t>UPDATED FRAMING: The analysis should now assume prior daratumumab, bortezomib, pomalidomide, and carfilzomib exposure, with carfilzomib-associated renal TMA/AKI concern. No reviewed record confirms CAR-T administration. Current options below should be read in that context and reconciled with the treating physician before any decision.</w:t>
      </w:r>
      <w:r>
        <w:rPr>
          <w:rFonts w:ascii="Arial" w:cs="Arial" w:eastAsia="Arial" w:hAnsi="Arial"/>
          <w:color w:val="000000"/>
          <w:sz w:val="22"/>
          <w:szCs w:val="22"/>
        </w:rPr>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4.1  Standard-of-Care Immediate Options</w:t>
      </w:r>
    </w:p>
    <w:p>
      <w:pPr>
        <w:pStyle w:val="Heading3"/>
        <w:spacing w:after="120" w:before="200"/>
      </w:pPr>
      <w:r>
        <w:rPr>
          <w:rFonts w:ascii="Arial" w:cs="Arial" w:eastAsia="Arial" w:hAnsi="Arial"/>
          <w:b/>
          <w:bCs/>
          <w:color w:val="2E5FA3"/>
          <w:sz w:val="24"/>
          <w:szCs w:val="24"/>
        </w:rPr>
        <w:t xml:space="preserve">Option A: Pomalidomide-Based Regimens (HIGHEST PRIORITY for immediate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Attribute</w:t>
            </w:r>
          </w:p>
        </w:tc>
        <w:tc>
          <w:tcPr>
            <w:tcW w:type="dxa" w:w="7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Regimen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 Dexamethasone (Pd) OR Daratumumab + Pomalidomide + Dexamethasone (DPd) OR Pomalidomide + Bortezomib + Dex (PVd) — though bortezomib-refractory, so PVd less preferred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Why fits this patient</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is NOT lenalidomide. The patient stopped lenalidomide (lenalidomide minimally exposed, stopped due to thrombocytopenia — not due to refractory disease). Pomalidomide retains activity even in lenalidomide-refractory patients. DPd is NCCN Category 1 for 1+ prior lines including lenalidomide and PI. Oral agent — outpatient, feasible with CKD.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Expected ORR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DPd: ~69% (APOLLO trial). Pd alone: ~30-35%. Adding daratumumab significantly improves depth.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Expected PFS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DPd: median PFS ~12.4 months (APOLLO trial, lenalidomide-refractory patients)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dosing</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does NOT require dose adjustment for CKD — it is not renally cleared. Safe with eGFR 40.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Key toxicities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Myelosuppression (neutropenia — already present; growth factor support mandatory), venous thromboembolism (DVT prophylaxis required — LMWH or aspirin), infection risk (high given immunoparesis), fatigue, GI effects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Special considerations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Daratumumab re-challenge: In a patient who received dara in first line over 2 years ago and achieved MRD-negative remission, re-exposure CAN have activity — especially if the patient was not truly dara-refractory at last progression. This is an important potential advantage.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Availability in India</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Available in India (branded Pomalid, Pomnat, or generic; ~INR 15,000-50,000/month). Daratumumab: Available in India (SC formulation) at significant cost (~INR 1-2 lakh/injection) but widely accessible at major centers.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Recommendation strength</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STRONGLY RECOMMENDED as an accessible, tolerable first salvage option in India if CAR-T is not immediately accessible.</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Option B: Isatuximab-Based Regimens (Anti-CD38, different from daratumumab)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Attribute</w:t>
            </w:r>
          </w:p>
        </w:tc>
        <w:tc>
          <w:tcPr>
            <w:tcW w:type="dxa" w:w="7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Regimen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Isatuximab + Pomalidomide + Dexamethasone (IsaPd) or Isatuximab + Carfilzomib + Dex (IsaKd — use with caution given renal risk)</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Why fits this patient</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Isatuximab targets a different epitope on CD38 than daratumumab. It retains activity in daratumumab-exposed patients, though with lower response rates. IsaPd is approved for 2+ prior lines.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Expected ORR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IsaPd in dara-exposed: ~25-30% (lower than dara-naïve). IsaKd: ~44-62% in general RRMM.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considerations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safe with CKD. Carfilzomib (in IsaKd): HIGH RENAL RISK — avoid or use with extreme caution in eGFR 40 given prior severe AKI.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Key toxicities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Infusion reactions, myelosuppression, infection. With carfilzomib: cardiotoxicity, HTN, renal toxicity — all problematic in this patient.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Recommendation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IsaPd is a reasonable option if DPd fails or is unavailable. Avoid IsaKd in this patient.</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Option C: Selinexor-Based Regimen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Attribute</w:t>
            </w:r>
          </w:p>
        </w:tc>
        <w:tc>
          <w:tcPr>
            <w:tcW w:type="dxa" w:w="7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Regimen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 Dexamethasone (Xd) or Selinexor + Bortezomib + Dex (XVd — BOSTON regimen)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Why fits this patient</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(STORM, BOSTON trials) showed specific benefit in patients with 1q gain — directly relevant to this patient's FISH profile. Oral agent. FDA-approved for 4+ prior lines (Xd) or 2+ lines (XVd, though bortezomib-refractory is a concern here).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Expected ORR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Xd: ~26% in triple-class refractory. XVd vs Vd: improved PFS (BOSTON, HR 0.70). In +1q patients: XVd showed particularly strong PFS benefit.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considerations</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pharmacokinetics are not significantly altered by moderate CKD. However, hyponatremia is a common adverse effect — particularly dangerous with existing CKD and hyperkalemia.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Key toxicities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Nausea/vomiting (antiemetic prophylaxis mandatory), anorexia/weight loss, fatigue, thrombocytopenia (already borderline at 110), hyponatremia. Requires strong supportive care.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Practical challenge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requires prophylactic antiemetics (ondansetron, metoclopramide), nutritional support, and close monitoring. The thrombocytopenia (Plt 110) is a concern.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Availability in India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availability in India is limited — not widely approved. May require compassionate use or medical tourism.</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Recommendation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Consider if 1q gain is confirmed on repeat biopsy and other options fail. Requires specialist center.</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Option D: Venetoclax — Not Recommended Without t(11;14)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Attribute</w:t>
            </w:r>
          </w:p>
        </w:tc>
        <w:tc>
          <w:tcPr>
            <w:tcW w:type="dxa" w:w="7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Details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Why NOT applicable (currently)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Venetoclax has marked single-agent activity ONLY in t(11;14) myeloma. Without confirmed t(11;14) on FISH, its use is experimental. t(11;14) status was not tested at diagnosis in available records.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Action required</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Test for t(11;14) on next bone marrow biopsy. If positive, venetoclax + dexamethasone is a meaningful option.</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4.2  Bispecific Antibody Options (Highly Relevant — T-Cell Redirecting Immunotherapy)</w:t>
      </w:r>
    </w:p>
    <w:p>
      <w:pPr>
        <w:spacing w:after="120"/>
      </w:pPr>
      <w:r>
        <w:rPr>
          <w:rFonts w:ascii="Arial" w:cs="Arial" w:eastAsia="Arial" w:hAnsi="Arial"/>
          <w:b/>
          <w:bCs/>
          <w:color w:val="1F3864"/>
          <w:sz w:val="21"/>
          <w:szCs w:val="21"/>
        </w:rPr>
        <w:t xml:space="preserve">These agents represent the most transformative recent advances in RRMM and are deeply relevant to this patient. All three FDA-approved products work by simultaneously binding a myeloma target and CD3 on T-cells, redirecting the patient's own immune system to kill myeloma cells.</w:t>
      </w:r>
    </w:p>
    <w:p>
      <w:pPr>
        <w:spacing w:after="60"/>
      </w:pPr>
      <w:r>
        <w:t xml:space="preserve"/>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800"/>
        <w:gridCol w:w="1800"/>
        <w:gridCol w:w="1800"/>
        <w:gridCol w:w="1560"/>
        <w:gridCol w:w="180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Drug</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Target</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FDA Approval Status</w:t>
            </w:r>
          </w:p>
        </w:tc>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ORR</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PFS Data</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Toxicities</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India Access</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Fit for This Patient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Teclistamab (TECVAYLI)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CD3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approved Aug 2022 (acc.); EMA approved. Full approval pending confirmatory trial.</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63% (MajesTEC-1)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Median PFS ~11 months (MajesTEC-1). Updated: 24-month follow-up showing ongoing durable responses.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CRS (72%, mostly grade 1-2), infections (pneumonia, 21% grade 3+), hypogammaglobulinemia requiring IVIG, neutropenia</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Limited — via compassionate use or import at select centers (Amrita, Tata Memorial, AIIMS). Not CDSCO approved.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FIT — BCMA naive, lenalidomide-naive, prior dara/bort exposure. Concerns: immunoparesis + neutropenia = high infection risk requiring prophylaxis.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Talquetamab (TALVEY)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GPRC5D × CD3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approved Aug 2023 (acc.); EMA approved.</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68% (MonumenTAL-1)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Median PFS ~7.5 months (MonumenTAL-1). SC weekly or biweekly.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CRS (77%, mostly grade 1-2), nail/skin changes (dysgeusia, dry mouth, skin exfoliation — unique to GPRC5D target), infections, weight loss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limited in India. Import possible.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FIT — GPRC5D target is completely different from BCMA; can be used before OR after BCMA-directed therapy. Unique side effect profile (nail/skin) but manageable.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Elranatamab (ELREXFIO)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CD3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approved Aug 2023 (acc.); EMA approved.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61% (MagnetisMM-3)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Median PFS ~17 months at 24-month follow-up. Complete responders have sustained remissions.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CRS (70%, grade 1-2 predominant), infections, cytopenias, injection site reactions (SC)</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limited in India. Import or trial.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FIT — same considerations as teclistamab. Alternative BCMA bispecific.</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Teclistamab + Daratumumab (MajesTEC-7)</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CD3 + CD38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Phase 3 data published 2025 in NEJM — 83% 3-year PFS vs 30% with standard care. Regulatory review ongoing.</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~88-90% ORR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3-year PFS ~83% vs 30% standard (landmark result)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Higher infection risk with combination; cytopenias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yet commercially available anywhere. Trial participation required.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IDEAL combination if the patient could access a trial — transformative data but not yet approved for routine use.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Critical Safety Consideration for Bispecific Antibodies in This Patient</w:t>
            </w:r>
          </w:p>
          <w:p>
            <w:pPr>
              <w:spacing w:after="60"/>
            </w:pPr>
            <w:r>
              <w:rPr>
                <w:rFonts w:ascii="Arial" w:cs="Arial" w:eastAsia="Arial" w:hAnsi="Arial"/>
                <w:color w:val="1F3864"/>
                <w:sz w:val="20"/>
                <w:szCs w:val="20"/>
              </w:rPr>
              <w:t xml:space="preserve">This patient has SEVERE immunoparesis (IgM &lt;21 mg/dL) and moderate neutropenia (ANC 1.45). Bispecific antibodies profoundly deepen immunosuppression through B-cell depletion and T-cell exhaustion.</w:t>
            </w:r>
          </w:p>
          <w:p>
            <w:pPr>
              <w:spacing w:after="60"/>
            </w:pPr>
            <w:r>
              <w:rPr>
                <w:rFonts w:ascii="Arial" w:cs="Arial" w:eastAsia="Arial" w:hAnsi="Arial"/>
                <w:color w:val="1F3864"/>
                <w:sz w:val="20"/>
                <w:szCs w:val="20"/>
              </w:rPr>
              <w:t xml:space="preserve">Mandatory prophylaxis before starting any bispecific antibody: Acyclovir (or valacyclovir) for herpes reactivation, Fluconazole or trimethoprim-sulfamethoxazole for PCP prophylaxis, Intravenous immunoglobulin (IVIG) supplementation if IgG &lt;4 g/dL or regardless given IgM suppression.</w:t>
            </w:r>
          </w:p>
          <w:p>
            <w:pPr>
              <w:spacing w:after="60"/>
            </w:pPr>
            <w:r>
              <w:rPr>
                <w:rFonts w:ascii="Arial" w:cs="Arial" w:eastAsia="Arial" w:hAnsi="Arial"/>
                <w:color w:val="1F3864"/>
                <w:sz w:val="20"/>
                <w:szCs w:val="20"/>
              </w:rPr>
              <w:t xml:space="preserve">Baseline pulmonary evaluation is important given prior lung abnormalities on 2024 PET/CT (fibronodular lesions, tree-in-bud).</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4.3  CAR-T Cell Therapy Options</w:t>
      </w:r>
    </w:p>
    <w:p>
      <w:pPr>
        <w:spacing w:after="120"/>
      </w:pPr>
      <w:r>
        <w:rPr>
          <w:rFonts w:ascii="Arial" w:cs="Arial" w:eastAsia="Arial" w:hAnsi="Arial"/>
          <w:b/>
          <w:bCs/>
          <w:color w:val="1F3864"/>
          <w:sz w:val="21"/>
          <w:szCs w:val="21"/>
        </w:rPr>
        <w:t xml:space="preserve">CAR-T was recommended for this patient in March 2024. It remains one of the most powerful options available if not yet administered. The analysis in this section applies if CAR-T has NOT yet been given.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800"/>
        <w:gridCol w:w="156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Drug</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Target</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Line of Therapy (FDA)</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Trial Data</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Eligibility Notes for This Patient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(Carvykti)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(dual nanobody)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 prior line (lenalidomide-refractory after 1 line); 2+ prior lines generally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CARTITUDE-1: ORR 97.9%, median OS 60.7 months (5 years!), 33% progression-free at 5 years. CARTITUDE-4: Superior to standard of care in 1-3 prior lines.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Patient has 1 prior line of therapy (DaraVCD + maintenance). Arguably eligible for 1-3 prior line indication. MUST assess leukapheresis feasibility with eGFR 40. Age 69 NOT a contraindication.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Ide-cel (Abecma)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(4-1BB)</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 prior lines (including PI, IMiD, anti-CD38)</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KarMMa-1: ORR 73%, median PFS 8.8 months. Inferior to cilta-cel in head-to-head analyses. Real-world: ORR 79.5%, 6-month OS 86%.</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Also eligible by line criteria. Cilta-cel is preferred over ide-cel based on superior outcomes data if both available.</w:t>
            </w:r>
          </w:p>
        </w:tc>
      </w:tr>
    </w:tbl>
    <w:p>
      <w:pPr>
        <w:spacing w:after="60"/>
      </w:pPr>
      <w:r>
        <w:t xml:space="preserve"/>
      </w:r>
    </w:p>
    <w:p>
      <w:pPr>
        <w:pStyle w:val="Heading3"/>
        <w:spacing w:after="120" w:before="200"/>
      </w:pPr>
      <w:r>
        <w:rPr>
          <w:rFonts w:ascii="Arial" w:cs="Arial" w:eastAsia="Arial" w:hAnsi="Arial"/>
          <w:b/>
          <w:bCs/>
          <w:color w:val="2E5FA3"/>
          <w:sz w:val="24"/>
          <w:szCs w:val="24"/>
        </w:rPr>
        <w:t xml:space="preserve">CAR-T Eligibility Assessment for This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tblHeader/>
        </w:trPr>
        <w:tc>
          <w:tcPr>
            <w:tcW w:type="dxa" w:w="2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Eligibility Factor</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c>
          <w:tcPr>
            <w:tcW w:type="dxa" w:w="50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Impact on CAR-T Candidacy</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Age (69 years)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ACCEPTABLE — Not a contraindication</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Real-world data shows CAR-T is feasible and effective in patients 65-75+. Age alone should not preclude consideration.</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CKD G3b (eGFR 40)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REQUIRES NEPHROLOGY ASSESSMENT</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eGFR 40 is borderline. Most CAR-T trials accepted eGFR ≥40 as lower limit. The September 2024 episode of severe AKI is a major concern — leukapheresis and lymphodepletion (fludarabine/cyclophosphamide) could further stress kidneys. Renal clearance during cytokine release syndrome (CRS) may worsen transiently.</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Thrombocytopenia (Plt 110)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CAUTION — requires bridging optimization</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Most programs require Plt &gt;50 for leukapheresis and infusion. Plt 110 is acceptable. However, this may worsen during lymphodepletion.</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Neutropenia (ANC 1.45)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CAUTION — infection risk</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ANC should ideally be &gt;1.0 for leukapheresis. G-CSF support during collection and recovery needed.</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target naïve status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NAIVE — IDEAL</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Patient has never received a BCMA-directed therapy (no prior bispecific, no prior CAR-T). This means BCMA expression should be intact, and response rates are highest in BCMA-naive patients.</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Prior daratumumab</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CD38-exposed</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is not affected by prior daratumumab — different mechanism entirely. No contraindication.</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Performance status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FORMALLY DOCUMENTED</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ECOG PS 0-2 typically required. Must be assessed clinically.</w:t>
            </w:r>
          </w:p>
        </w:tc>
      </w:tr>
      <w:tr>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Active infections/autoimmunity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Pulmonary abnormalities noted Feb 2024 (tree-in-bud, fibronodules)</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Must be cleared before CAR-T. Active pulmonary infection is a contraindication. Baseline CT chest needed.</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4.4  Transplant-Related Options</w:t>
      </w:r>
    </w:p>
    <w:p>
      <w:pPr>
        <w:spacing w:after="120"/>
      </w:pPr>
      <w:r>
        <w:rPr>
          <w:rFonts w:ascii="Arial" w:cs="Arial" w:eastAsia="Arial" w:hAnsi="Arial"/>
          <w:b/>
          <w:bCs/>
          <w:color w:val="000000"/>
          <w:sz w:val="22"/>
          <w:szCs w:val="22"/>
        </w:rPr>
        <w:t xml:space="preserve">Autologous Stem Cell Transplant (ASCT): </w:t>
      </w:r>
      <w:r>
        <w:rPr>
          <w:rFonts w:ascii="Arial" w:cs="Arial" w:eastAsia="Arial" w:hAnsi="Arial"/>
          <w:color w:val="000000"/>
          <w:sz w:val="22"/>
          <w:szCs w:val="22"/>
        </w:rPr>
        <w:t xml:space="preserve">The treating team determined in March 2024 that this patient is NOT an ASCT candidate. Given the current status — CKD G3b, history of severe AKI, age 69, thrombocytopenia, and neutropenia — ASCT remains inappropriate and should not be reconsidered. The intense conditioning regimen would likely cause lethal renal and hematologic toxicity.</w:t>
      </w:r>
    </w:p>
    <w:p>
      <w:pPr>
        <w:spacing w:after="60"/>
      </w:pPr>
      <w:r>
        <w:t xml:space="preserve"/>
      </w:r>
    </w:p>
    <w:p>
      <w:pPr>
        <w:spacing w:after="120"/>
      </w:pPr>
      <w:r>
        <w:rPr>
          <w:rFonts w:ascii="Arial" w:cs="Arial" w:eastAsia="Arial" w:hAnsi="Arial"/>
          <w:b/>
          <w:bCs/>
          <w:color w:val="000000"/>
          <w:sz w:val="22"/>
          <w:szCs w:val="22"/>
        </w:rPr>
        <w:t xml:space="preserve">Allogeneic SCT: </w:t>
      </w:r>
      <w:r>
        <w:rPr>
          <w:rFonts w:ascii="Arial" w:cs="Arial" w:eastAsia="Arial" w:hAnsi="Arial"/>
          <w:color w:val="000000"/>
          <w:sz w:val="22"/>
          <w:szCs w:val="22"/>
        </w:rPr>
        <w:t xml:space="preserve">Not a standard recommendation for multiple myeloma in 2026 and absolutely not appropriate for a 69-year-old with CKD G3b.</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4.5  Clinical Trial Directions — Most Promising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Trial / Approach</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Target/Mechanism</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 (2026)</w:t>
            </w:r>
          </w:p>
        </w:tc>
        <w:tc>
          <w:tcPr>
            <w:tcW w:type="dxa" w:w="30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Why Relevant to This Patient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MajesTEC-7 (Teclistamab + Daratumumab)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CD3 + CD38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Phase 3 data published — 83% 3-year PFS vs 30% standard. Regulatory submission in progress.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Patient meets profile: dara-exposed but not dara-refractory at time of bispecific use. Transformative efficacy.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CARTITUDE-5 / CARTITUDE-6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in earlier lines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Phase 3 enrollment completed; results expected 2026-2027</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If patient's line count qualifies, trial participation (or commercial use of cilta-cel) in earlier lines offers best outcomes.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Anito-cel (ABBV-CLS-484)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CAR-T (fast CAR manufacturing)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Phase 2 data showed strong responses; major market approval projected ~2026-2027</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Faster manufacturing time could reduce wait-time issue for CAR-T in India if approved and accessible.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In-vivo CAR-T (Lancet, 2025)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lentiviral in-vivo CAR-T delivery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Phase 1 published in Lancet 2025. Early but remarkable — eliminates ex-vivo manufacturing.</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Revolutionary if available; could solve the manufacturing/access problem for India entirely. Still early-phase.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Linvoseltamab (BCMA × CD3)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 CD3 bispecific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breakthrough designation; ORR ~71% in pivotal trial; approval anticipated 2025-2026</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Another BCMA bispecific option. May offer improved dosing schedule.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Iberdomide + Dara + Dex</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CELMoD immunomodulator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BLA submitted to FDA 2025-2026 for RRMM</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Next-generation IMiD (more potent than pomalidomide). Phase 3 data showed benefit in dara-exposed patients.</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4.6  Supportive Care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Domain</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Current Status / Concern</w:t>
            </w:r>
          </w:p>
        </w:tc>
        <w:tc>
          <w:tcPr>
            <w:tcW w:type="dxa" w:w="4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Recommended Action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Bone disease / Skeletal support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Pathologic fractures (ribs, D6 vertebra documented Feb 2024). Hypercalcemia now emerging (10.4 mg/dL).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Continue or restart zoledronic acid (RENAL DOSE ADJUSTMENT: eGFR 40 → reduce dose to 3.5 mg IV over 15 min; or switch to denosumab 120 mg SC monthly — denosumab may be preferable with CKD as it does not require renal dosing and may reduce hypercalcemia). Orthopedic assessment for spinal stability.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Infection prophylaxis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IgM &lt;21 mg/dL (severe immunoparesis), ANC 1.45, prior lung abnormalities</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 IVIG supplementation if IgG &lt;4 g/dL (check level). 2) Acyclovir 400 mg twice daily (prophylaxis against VZV reactivation — any PI or corticosteroid use requires this). 3) PCP prophylaxis (TMP-SMX or pentamidine). 4) Pneumococcal and flu vaccines when not on active cytotoxic therapy.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Hyperkalemia (K+ 5.54)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CKD-related; clinically significant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Low-potassium diet. Potassium binders (patiromer or sodium zirconium cyclosilicate) if persistent. Nephrology co-management essential. AVOID medications that raise potassium (ACE inhibitors, NSAIDs). CAUTION: Telmisartan (ARB) used for HTN raises K+ — discuss with nephrologist.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Hypercalcemia (Ca 10.4)</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Mildly elevated; likely myeloma-driven</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IV saline hydration (ensures 2L/day urine output). Bisphosphonate/denosumab (as above). Corticosteroids (dexamethasone-based therapy will help). If severe (&gt;12 mg/dL): calcitonin, urgent treatment. Monitor Ca with each lab check.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Anemia (Hgb 12.4)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but symptomatic territory</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Erythropoiesis-stimulating agent (ESA: darbepoetin or epoetin) IF CKD is the primary driver and disease is controlled. Avoid if myeloma is actively progressing (ESAs promote myeloma growth). Consider iron supplementation (oral or IV) if iron deficient — check ferritin, transferrin saturation. Transfuse only if Hgb &lt;8 or symptomatic.</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Neutropenia / G-CSF</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ANC 1.45 — neutropenia Grade 1</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Initiate G-CSF (filgrastim or pegfilgrastim) before starting any new cytotoxic therapy. Continue prophylactically during first 1-2 cycles of any new regimen.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Cardiac monitoring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Troponin elevation noted during Sept 2024 hospitalization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Baseline ECG and troponin before starting carfilzomib (which is CONTRAINDICATED with elevated troponin or significant cardiac history). Echo recommended if carfilzomib considered.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protection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CKD G3b; prior severe AKI</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Adequate hydration (2L/day minimum). Avoid NSAIDs, IV contrast without pre-hydration, nephrotoxic antibiotics (aminoglycosides). Low-potassium diet. Nephrology co-management for any new therapy.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Diabetes / steroid hyperglycemia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Pre-diabetes + high-dose dexamethasone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Blood glucose monitoring during dexamethasone days. Consider metformin or DPP-4 inhibitor if glucose persistently &gt;200 mg/dL. Insulin if severely elevated.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BPH management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Alfuzosin 10 mg ongoing</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Continue. Watch for urinary retention exacerbated by anticholinergic drugs. Alert pharmacy to screen all new prescriptions for anticholinergic burden.</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5.  Estimated PFS and OS — Individualized Discussion</w:t>
      </w:r>
    </w:p>
    <w:p>
      <w:pPr>
        <w:spacing w:after="120"/>
      </w:pPr>
      <w:r>
        <w:rPr>
          <w:rFonts w:ascii="Arial" w:cs="Arial" w:eastAsia="Arial" w:hAnsi="Arial"/>
          <w:i/>
          <w:iCs/>
          <w:color w:val="C0392B"/>
          <w:sz w:val="22"/>
          <w:szCs w:val="22"/>
        </w:rPr>
        <w:t xml:space="preserve">IMPORTANT DISCLAIMER: </w:t>
      </w:r>
      <w:r>
        <w:rPr>
          <w:rFonts w:ascii="Arial" w:cs="Arial" w:eastAsia="Arial" w:hAnsi="Arial"/>
          <w:i/>
          <w:iCs/>
          <w:color w:val="444444"/>
          <w:sz w:val="22"/>
          <w:szCs w:val="22"/>
        </w:rPr>
        <w:t xml:space="preserve">Prognosis in multiple myeloma is highly individualized. The following estimates are based on available clinical trial data and real-world evidence published through early 2026. They represent ranges and probabilities, NOT certainties. This patient's actual outcome may be better or worse than these estimates depending on treatment received, treatment response, and factors not captured in available records.</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5.1  Favorable Prognostic Factors in This Patient</w:t>
      </w:r>
    </w:p>
    <w:p>
      <w:pPr>
        <w:pStyle w:val="ListParagraph"/>
        <w:numPr>
          <w:ilvl w:val="0"/>
          <w:numId w:val="2"/>
        </w:numPr>
        <w:spacing w:after="80"/>
      </w:pPr>
      <w:r>
        <w:rPr>
          <w:rFonts w:ascii="Arial" w:cs="Arial" w:eastAsia="Arial" w:hAnsi="Arial"/>
          <w:b/>
          <w:bCs/>
          <w:color w:val="000000"/>
          <w:sz w:val="21"/>
          <w:szCs w:val="21"/>
        </w:rPr>
        <w:t xml:space="preserve">Demonstrated deep initial sensitivity: </w:t>
      </w:r>
      <w:r>
        <w:rPr>
          <w:rFonts w:ascii="Arial" w:cs="Arial" w:eastAsia="Arial" w:hAnsi="Arial"/>
          <w:color w:val="000000"/>
          <w:sz w:val="21"/>
          <w:szCs w:val="21"/>
        </w:rPr>
        <w:t xml:space="preserve">Achieved MRD-negative complete remission on first-line DaraVCD — this is one of the best predictors of subsequent response to therapy.</w:t>
      </w:r>
    </w:p>
    <w:p>
      <w:pPr>
        <w:pStyle w:val="ListParagraph"/>
        <w:numPr>
          <w:ilvl w:val="0"/>
          <w:numId w:val="2"/>
        </w:numPr>
        <w:spacing w:after="80"/>
      </w:pPr>
      <w:r>
        <w:rPr>
          <w:rFonts w:ascii="Arial" w:cs="Arial" w:eastAsia="Arial" w:hAnsi="Arial"/>
          <w:b/>
          <w:bCs/>
          <w:color w:val="000000"/>
          <w:sz w:val="21"/>
          <w:szCs w:val="21"/>
        </w:rPr>
        <w:t xml:space="preserve">No del(17p) or t(4;14)/(14;16) at diagnosis: </w:t>
      </w:r>
      <w:r>
        <w:rPr>
          <w:rFonts w:ascii="Arial" w:cs="Arial" w:eastAsia="Arial" w:hAnsi="Arial"/>
          <w:color w:val="000000"/>
          <w:sz w:val="21"/>
          <w:szCs w:val="21"/>
        </w:rPr>
        <w:t xml:space="preserve">Absence of the most adverse FISH findings at baseline is favorable.</w:t>
      </w:r>
    </w:p>
    <w:p>
      <w:pPr>
        <w:pStyle w:val="ListParagraph"/>
        <w:numPr>
          <w:ilvl w:val="0"/>
          <w:numId w:val="2"/>
        </w:numPr>
        <w:spacing w:after="80"/>
      </w:pPr>
      <w:r>
        <w:rPr>
          <w:rFonts w:ascii="Arial" w:cs="Arial" w:eastAsia="Arial" w:hAnsi="Arial"/>
          <w:b/>
          <w:bCs/>
          <w:color w:val="000000"/>
          <w:sz w:val="21"/>
          <w:szCs w:val="21"/>
        </w:rPr>
        <w:t xml:space="preserve">Normal albumin (4.60 g/dL): </w:t>
      </w:r>
      <w:r>
        <w:rPr>
          <w:rFonts w:ascii="Arial" w:cs="Arial" w:eastAsia="Arial" w:hAnsi="Arial"/>
          <w:color w:val="000000"/>
          <w:sz w:val="21"/>
          <w:szCs w:val="21"/>
        </w:rPr>
        <w:t xml:space="preserve">Indicates adequate nutritional and performance reserve.</w:t>
      </w:r>
    </w:p>
    <w:p>
      <w:pPr>
        <w:pStyle w:val="ListParagraph"/>
        <w:numPr>
          <w:ilvl w:val="0"/>
          <w:numId w:val="2"/>
        </w:numPr>
        <w:spacing w:after="80"/>
      </w:pPr>
      <w:r>
        <w:rPr>
          <w:rFonts w:ascii="Arial" w:cs="Arial" w:eastAsia="Arial" w:hAnsi="Arial"/>
          <w:b/>
          <w:bCs/>
          <w:color w:val="000000"/>
          <w:sz w:val="21"/>
          <w:szCs w:val="21"/>
        </w:rPr>
        <w:t xml:space="preserve">BCMA-naive: </w:t>
      </w:r>
      <w:r>
        <w:rPr>
          <w:rFonts w:ascii="Arial" w:cs="Arial" w:eastAsia="Arial" w:hAnsi="Arial"/>
          <w:color w:val="000000"/>
          <w:sz w:val="21"/>
          <w:szCs w:val="21"/>
        </w:rPr>
        <w:t xml:space="preserve">Has not been exposed to any BCMA-directed therapy — highest response rates for cilta-cel, ide-cel, teclistamab, elranatamab are all in BCMA-naive patients.</w:t>
      </w:r>
    </w:p>
    <w:p>
      <w:pPr>
        <w:pStyle w:val="ListParagraph"/>
        <w:numPr>
          <w:ilvl w:val="0"/>
          <w:numId w:val="2"/>
        </w:numPr>
        <w:spacing w:after="80"/>
      </w:pPr>
      <w:r>
        <w:rPr>
          <w:rFonts w:ascii="Arial" w:cs="Arial" w:eastAsia="Arial" w:hAnsi="Arial"/>
          <w:b/>
          <w:bCs/>
          <w:color w:val="000000"/>
          <w:sz w:val="21"/>
          <w:szCs w:val="21"/>
        </w:rPr>
        <w:t xml:space="preserve">Lenalidomide not truly refractory: </w:t>
      </w:r>
      <w:r>
        <w:rPr>
          <w:rFonts w:ascii="Arial" w:cs="Arial" w:eastAsia="Arial" w:hAnsi="Arial"/>
          <w:color w:val="000000"/>
          <w:sz w:val="21"/>
          <w:szCs w:val="21"/>
        </w:rPr>
        <w:t xml:space="preserve">Lenalidomide was stopped for toxicity, not disease progression — pomalidomide may retain stronger activity.</w:t>
      </w:r>
    </w:p>
    <w:p>
      <w:pPr>
        <w:pStyle w:val="ListParagraph"/>
        <w:numPr>
          <w:ilvl w:val="0"/>
          <w:numId w:val="2"/>
        </w:numPr>
        <w:spacing w:after="80"/>
      </w:pPr>
      <w:r>
        <w:rPr>
          <w:rFonts w:ascii="Arial" w:cs="Arial" w:eastAsia="Arial" w:hAnsi="Arial"/>
          <w:b/>
          <w:bCs/>
          <w:color w:val="000000"/>
          <w:sz w:val="21"/>
          <w:szCs w:val="21"/>
        </w:rPr>
        <w:t xml:space="preserve">Relatively small M-spike at relapse (~0.2 g/dL): </w:t>
      </w:r>
      <w:r>
        <w:rPr>
          <w:rFonts w:ascii="Arial" w:cs="Arial" w:eastAsia="Arial" w:hAnsi="Arial"/>
          <w:color w:val="000000"/>
          <w:sz w:val="21"/>
          <w:szCs w:val="21"/>
        </w:rPr>
        <w:t xml:space="preserve">Low volume biochemical disease rather than massive relapse.</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5.2  Adverse Prognostic Factors</w:t>
      </w:r>
    </w:p>
    <w:p>
      <w:pPr>
        <w:pStyle w:val="ListParagraph"/>
        <w:numPr>
          <w:ilvl w:val="0"/>
          <w:numId w:val="2"/>
        </w:numPr>
        <w:spacing w:after="80"/>
      </w:pPr>
      <w:r>
        <w:rPr>
          <w:rFonts w:ascii="Arial" w:cs="Arial" w:eastAsia="Arial" w:hAnsi="Arial"/>
          <w:b/>
          <w:bCs/>
          <w:color w:val="000000"/>
          <w:sz w:val="21"/>
          <w:szCs w:val="21"/>
        </w:rPr>
        <w:t xml:space="preserve">Relapsed on bortezomib maintenance: </w:t>
      </w:r>
      <w:r>
        <w:rPr>
          <w:rFonts w:ascii="Arial" w:cs="Arial" w:eastAsia="Arial" w:hAnsi="Arial"/>
          <w:color w:val="000000"/>
          <w:sz w:val="21"/>
          <w:szCs w:val="21"/>
        </w:rPr>
        <w:t xml:space="preserve">Bortezomib-refractory relapse has worse prognosis than relapse off therapy.</w:t>
      </w:r>
    </w:p>
    <w:p>
      <w:pPr>
        <w:pStyle w:val="ListParagraph"/>
        <w:numPr>
          <w:ilvl w:val="0"/>
          <w:numId w:val="2"/>
        </w:numPr>
        <w:spacing w:after="80"/>
      </w:pPr>
      <w:r>
        <w:rPr>
          <w:rFonts w:ascii="Arial" w:cs="Arial" w:eastAsia="Arial" w:hAnsi="Arial"/>
          <w:b/>
          <w:bCs/>
          <w:color w:val="000000"/>
          <w:sz w:val="21"/>
          <w:szCs w:val="21"/>
        </w:rPr>
        <w:t xml:space="preserve">Daratumumab-exposed: </w:t>
      </w:r>
      <w:r>
        <w:rPr>
          <w:rFonts w:ascii="Arial" w:cs="Arial" w:eastAsia="Arial" w:hAnsi="Arial"/>
          <w:color w:val="000000"/>
          <w:sz w:val="21"/>
          <w:szCs w:val="21"/>
        </w:rPr>
        <w:t xml:space="preserve">Reduces options; activity of re-challenge is lower than first-line dara.</w:t>
      </w:r>
    </w:p>
    <w:p>
      <w:pPr>
        <w:pStyle w:val="ListParagraph"/>
        <w:numPr>
          <w:ilvl w:val="0"/>
          <w:numId w:val="2"/>
        </w:numPr>
        <w:spacing w:after="80"/>
      </w:pPr>
      <w:r>
        <w:rPr>
          <w:rFonts w:ascii="Arial" w:cs="Arial" w:eastAsia="Arial" w:hAnsi="Arial"/>
          <w:b/>
          <w:bCs/>
          <w:color w:val="000000"/>
          <w:sz w:val="21"/>
          <w:szCs w:val="21"/>
        </w:rPr>
        <w:t xml:space="preserve">CKD G3b: </w:t>
      </w:r>
      <w:r>
        <w:rPr>
          <w:rFonts w:ascii="Arial" w:cs="Arial" w:eastAsia="Arial" w:hAnsi="Arial"/>
          <w:color w:val="000000"/>
          <w:sz w:val="21"/>
          <w:szCs w:val="21"/>
        </w:rPr>
        <w:t xml:space="preserve">Limits drug options, increases toxicity, historically associated with shorter survival in myeloma.</w:t>
      </w:r>
    </w:p>
    <w:p>
      <w:pPr>
        <w:pStyle w:val="ListParagraph"/>
        <w:numPr>
          <w:ilvl w:val="0"/>
          <w:numId w:val="2"/>
        </w:numPr>
        <w:spacing w:after="80"/>
      </w:pPr>
      <w:r>
        <w:rPr>
          <w:rFonts w:ascii="Arial" w:cs="Arial" w:eastAsia="Arial" w:hAnsi="Arial"/>
          <w:b/>
          <w:bCs/>
          <w:color w:val="000000"/>
          <w:sz w:val="21"/>
          <w:szCs w:val="21"/>
        </w:rPr>
        <w:t xml:space="preserve">Prior severe AKI: </w:t>
      </w:r>
      <w:r>
        <w:rPr>
          <w:rFonts w:ascii="Arial" w:cs="Arial" w:eastAsia="Arial" w:hAnsi="Arial"/>
          <w:color w:val="000000"/>
          <w:sz w:val="21"/>
          <w:szCs w:val="21"/>
        </w:rPr>
        <w:t xml:space="preserve">Recurrence risk is high.</w:t>
      </w:r>
    </w:p>
    <w:p>
      <w:pPr>
        <w:pStyle w:val="ListParagraph"/>
        <w:numPr>
          <w:ilvl w:val="0"/>
          <w:numId w:val="2"/>
        </w:numPr>
        <w:spacing w:after="80"/>
      </w:pPr>
      <w:r>
        <w:rPr>
          <w:rFonts w:ascii="Arial" w:cs="Arial" w:eastAsia="Arial" w:hAnsi="Arial"/>
          <w:b/>
          <w:bCs/>
          <w:color w:val="000000"/>
          <w:sz w:val="21"/>
          <w:szCs w:val="21"/>
        </w:rPr>
        <w:t xml:space="preserve">1q gain + 1p deletion: </w:t>
      </w:r>
      <w:r>
        <w:rPr>
          <w:rFonts w:ascii="Arial" w:cs="Arial" w:eastAsia="Arial" w:hAnsi="Arial"/>
          <w:color w:val="000000"/>
          <w:sz w:val="21"/>
          <w:szCs w:val="21"/>
        </w:rPr>
        <w:t xml:space="preserve">Associated with shorter PFS and OS, particularly in relapsed disease.</w:t>
      </w:r>
    </w:p>
    <w:p>
      <w:pPr>
        <w:pStyle w:val="ListParagraph"/>
        <w:numPr>
          <w:ilvl w:val="0"/>
          <w:numId w:val="2"/>
        </w:numPr>
        <w:spacing w:after="80"/>
      </w:pPr>
      <w:r>
        <w:rPr>
          <w:rFonts w:ascii="Arial" w:cs="Arial" w:eastAsia="Arial" w:hAnsi="Arial"/>
          <w:b/>
          <w:bCs/>
          <w:color w:val="000000"/>
          <w:sz w:val="21"/>
          <w:szCs w:val="21"/>
        </w:rPr>
        <w:t xml:space="preserve">Rising kappa FLC (38 → 97.65 mg/L over 8 months): </w:t>
      </w:r>
      <w:r>
        <w:rPr>
          <w:rFonts w:ascii="Arial" w:cs="Arial" w:eastAsia="Arial" w:hAnsi="Arial"/>
          <w:color w:val="000000"/>
          <w:sz w:val="21"/>
          <w:szCs w:val="21"/>
        </w:rPr>
        <w:t xml:space="preserve">Rapid doubling time implies biologically active disease.</w:t>
      </w:r>
    </w:p>
    <w:p>
      <w:pPr>
        <w:pStyle w:val="ListParagraph"/>
        <w:numPr>
          <w:ilvl w:val="0"/>
          <w:numId w:val="2"/>
        </w:numPr>
        <w:spacing w:after="80"/>
      </w:pPr>
      <w:r>
        <w:rPr>
          <w:rFonts w:ascii="Arial" w:cs="Arial" w:eastAsia="Arial" w:hAnsi="Arial"/>
          <w:b/>
          <w:bCs/>
          <w:color w:val="000000"/>
          <w:sz w:val="21"/>
          <w:szCs w:val="21"/>
        </w:rPr>
        <w:t xml:space="preserve">Age 69 with multiple comorbidities: </w:t>
      </w:r>
      <w:r>
        <w:rPr>
          <w:rFonts w:ascii="Arial" w:cs="Arial" w:eastAsia="Arial" w:hAnsi="Arial"/>
          <w:color w:val="000000"/>
          <w:sz w:val="21"/>
          <w:szCs w:val="21"/>
        </w:rPr>
        <w:t xml:space="preserve">Each comorbidity reduces treatment tolerance and overall survival.</w:t>
      </w:r>
    </w:p>
    <w:p>
      <w:pPr>
        <w:pStyle w:val="ListParagraph"/>
        <w:numPr>
          <w:ilvl w:val="0"/>
          <w:numId w:val="2"/>
        </w:numPr>
        <w:spacing w:after="80"/>
      </w:pPr>
      <w:r>
        <w:rPr>
          <w:rFonts w:ascii="Arial" w:cs="Arial" w:eastAsia="Arial" w:hAnsi="Arial"/>
          <w:b/>
          <w:bCs/>
          <w:color w:val="000000"/>
          <w:sz w:val="21"/>
          <w:szCs w:val="21"/>
        </w:rPr>
        <w:t xml:space="preserve">Severe immunoparesis (IgM &lt;21): </w:t>
      </w:r>
      <w:r>
        <w:rPr>
          <w:rFonts w:ascii="Arial" w:cs="Arial" w:eastAsia="Arial" w:hAnsi="Arial"/>
          <w:color w:val="000000"/>
          <w:sz w:val="21"/>
          <w:szCs w:val="21"/>
        </w:rPr>
        <w:t xml:space="preserve">Increases mortality from infection, especially during intensive therapy.</w:t>
      </w:r>
    </w:p>
    <w:p>
      <w:pPr>
        <w:pStyle w:val="ListParagraph"/>
        <w:numPr>
          <w:ilvl w:val="0"/>
          <w:numId w:val="2"/>
        </w:numPr>
        <w:spacing w:after="80"/>
      </w:pPr>
      <w:r>
        <w:rPr>
          <w:rFonts w:ascii="Arial" w:cs="Arial" w:eastAsia="Arial" w:hAnsi="Arial"/>
          <w:b/>
          <w:bCs/>
          <w:color w:val="000000"/>
          <w:sz w:val="21"/>
          <w:szCs w:val="21"/>
        </w:rPr>
        <w:t xml:space="preserve">Strong familial history: </w:t>
      </w:r>
      <w:r>
        <w:rPr>
          <w:rFonts w:ascii="Arial" w:cs="Arial" w:eastAsia="Arial" w:hAnsi="Arial"/>
          <w:color w:val="000000"/>
          <w:sz w:val="21"/>
          <w:szCs w:val="21"/>
        </w:rPr>
        <w:t xml:space="preserve">Mother and maternal uncle with myeloma — may suggest germline predisposition with more aggressive tumor biology.</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5.3  Prognosis by Treatment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200"/>
        <w:gridCol w:w="11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Scenario</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Estimated PFS</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Estimated Median OS from Now</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Evidence Basis</w:t>
            </w:r>
          </w:p>
        </w:tc>
        <w:tc>
          <w:tcPr>
            <w:tcW w:type="dxa" w:w="1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Confidence Level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 effective treatment / Disease progresses uncontrolled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&lt;3-4 months before CRAB complications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6-12 months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Historical untreated RRMM data; CRAB criteria emerging (hypercalcemia)</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confidence that prognosis is poor without treatment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Pomalidomide + Dexamethasone (Pd) — 2-drug</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~6-9 months PFS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12-18 months median 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MM-003 trial: median PFS 4 months, OS 12.7 months (heavily pretreated). This patient is less pretreated and lenalidomide-not-refractory, so somewhat better.</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 confidence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Daratumumab + Pomalidomide + Dex (DPd; note patient already has documented maintenance daratumumab + pomalidomide exposure from Jan 2025)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~12-15 months PFS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~24-30 months OS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APOLLO trial (dara-exposed patients): median PFS 12.4 months vs 6.6 for Pd. Better-than-average expected given BCMA-naive status.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Moderate-high confidence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Bispecific antibody (teclistamab or elranatamab)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~11-17 months PFS median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~24-36 months median 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MajesTEC-1: median PFS 11.3 months, 24-month OS ~45%. MagnetisMM-3: median PFS 17 months at 24-month follow-up. Ongoing responders skew OS upward.</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 confidence — real-world data accumulating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(cilta-cel) — if eligible and administered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~28+ months PFS (trial); 12-month PFS ~68% (real-world)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Median OS not reached in major trials — potentially 4-5+ years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CARTITUDE-1 (5-year data): median OS 60.7 months, 33% progression-free at 5 years. This patient is in earlier treatment lines than CARTITUDE-1 patients (1-2 lines vs 6 median in trial) — potentially BETTER outcomes.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confidence this is best option — significant uncertainty about individual patient eligibility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(ide-cel) — if eligible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~12-14 months PFS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~20-24 months 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KarMMa-1 trial data. Inferior to cilta-cel in head-to-head. Real-world: ORR 79.5%.</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Moderate-high confidence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Bispecific + Daratumumab combination (e.g., Tec + Dara)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83% 3-year PFS (MajesTEC-7 trial)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yet reported — landmark data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NEJM 2025 data — most recent and most impressive combination data. NOT yet commercially approved.</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high confidence if trial access available</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5.4  Bottom-Line Prognosis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Scenario</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Realistic PFS Range</w:t>
            </w:r>
          </w:p>
        </w:tc>
        <w:tc>
          <w:tcPr>
            <w:tcW w:type="dxa" w:w="28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Realistic OS Range (From April 2026)</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Without effective treatment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1-3 months before symptomatic progression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6-12 months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Best-case (CAR-T cilta-cel with excellent response)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3-5+ years without progression (in ~30-40% of patients)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 years in responders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Typical case (bispecific antibody or DPd response)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12-18 months PFS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24-36 months OS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Worst-case (refractory to all remaining therapies)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3-6 months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12-18 months</w:t>
            </w:r>
          </w:p>
        </w:tc>
      </w:tr>
    </w:tbl>
    <w:p>
      <w:pPr>
        <w:spacing w:after="60"/>
      </w:pPr>
      <w:r>
        <w:t xml:space="preserve"/>
      </w:r>
    </w:p>
    <w:p>
      <w:pPr>
        <w:spacing w:after="120"/>
      </w:pPr>
      <w:r>
        <w:rPr>
          <w:rFonts w:ascii="Arial" w:cs="Arial" w:eastAsia="Arial" w:hAnsi="Arial"/>
          <w:i/>
          <w:iCs/>
          <w:color w:val="333333"/>
          <w:sz w:val="22"/>
          <w:szCs w:val="22"/>
        </w:rPr>
        <w:t xml:space="preserve">The key determinant of this patient's prognosis in 2026 is whether he can access and respond to CAR-T therapy or bispecific antibodies. If yes, there is a realistic possibility of multiple additional years of good quality life. If limited to conventional salvage chemotherapy, the outlook is significantly shorter.</w:t>
      </w:r>
    </w:p>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6.  CAR-T for Multiple Myeloma: Global Availability, Cost, and Outcomes</w:t>
      </w:r>
    </w:p>
    <w:p>
      <w:pPr>
        <w:spacing w:after="120"/>
      </w:pPr>
      <w:r>
        <w:rPr>
          <w:rFonts w:ascii="Arial" w:cs="Arial" w:eastAsia="Arial" w:hAnsi="Arial"/>
          <w:b/>
          <w:bCs/>
          <w:color w:val="1F3864"/>
          <w:sz w:val="22"/>
          <w:szCs w:val="22"/>
        </w:rPr>
        <w:t xml:space="preserve">Background: </w:t>
      </w:r>
      <w:r>
        <w:rPr>
          <w:rFonts w:ascii="Arial" w:cs="Arial" w:eastAsia="Arial" w:hAnsi="Arial"/>
          <w:color w:val="000000"/>
          <w:sz w:val="22"/>
          <w:szCs w:val="22"/>
        </w:rPr>
        <w:t xml:space="preserve">Two BCMA-directed CAR-T products — cilta-cel (Carvykti) and ide-cel (Abecma) — have received regulatory approval in multiple jurisdictions and represent the most transformative therapy in relapsed/refractory myeloma. A third product (equecabtagene autoleucel) is approved in China. Numerous additional products are in advanced trials. Access varies enormously by country.</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6.1  Approved BCMA CAR-T Products — Clinical Summary</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2200"/>
        <w:gridCol w:w="800"/>
        <w:gridCol w:w="1800"/>
        <w:gridCol w:w="1200"/>
        <w:gridCol w:w="2860"/>
      </w:tblGrid>
      <w:tr>
        <w:trPr>
          <w:tblHeader/>
        </w:trPr>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Product</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Developer</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Target</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Trial</w:t>
            </w:r>
          </w:p>
        </w:tc>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ORR</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Median PFS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5-Year PFS</w:t>
            </w:r>
          </w:p>
        </w:tc>
        <w:tc>
          <w:tcPr>
            <w:tcW w:type="dxa" w:w="28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Major Toxicities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(Carvykti)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Janssen / Legend Biotech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(dual nanobody)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CARTITUDE-1, CARTITUDE-4</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97.9%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reached (28+ months in CARTITUDE-1; superior to SOC in CARTITUDE-4)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33% of patients (CARTITUDE-1)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CRS 95% (5% grade 3+); ICANS &lt;5%; Delayed neurotoxicity (ICANS, Parkinsonian, cranial nerve palsies) in ~3-5%; Cytopenias; Infections (30% grade 3+)</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Ide-cel (Abecma)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Bristol-Myers Squibb / 2seventy bio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(4-1BB)</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KarMMa-1, KarMMa-3</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8.8 months (KarMMa-1); 13.3 months vs 4.4 months SOC (KarMMa-3)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reported at 5 years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CRS 84% (5% grade 3+); ICANS ~18%; Cytopenias; Infections; Less delayed neurotoxicity than cilta-cel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Equecabtagene autoleucel (CT103A)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IASO Bio (China)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(fully human)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FUMANBA-1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~80-85%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~18-20 months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Limited follow-up</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Similar CRS/ICANS profile; limited comparative data</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6.2  Global Regulatory Approval and Accessibility — Country-by-Country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200"/>
        <w:gridCol w:w="1800"/>
        <w:gridCol w:w="1700"/>
        <w:gridCol w:w="126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Country / Region</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Cilta-cel Status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Ide-cel Status</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Approximate Drug Cost (List Price)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Total Treatment Cost (Estimate)</w:t>
            </w:r>
          </w:p>
        </w:tc>
        <w:tc>
          <w:tcPr>
            <w:tcW w:type="dxa" w:w="1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Practical Accessibility</w:t>
            </w:r>
          </w:p>
        </w:tc>
        <w:tc>
          <w:tcPr>
            <w:tcW w:type="dxa" w:w="12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Wait Time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United States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Approved (Feb 2022, expanded 2024 — 1+ prior lines for lenalidomide-refractory)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FDA Approved (Mar 2021, expanded 2024 — 2+ prior lines)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~$465,000 USD; Ide-cel: ~$419,500 USD (one-time infusion)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$700,000–$800,000 USD total (including hospitalization, apheresis, bridging, monitoring per published cost analyses)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Widely available at 200+ certified centers. Best global access. Insurance coverage (Medicare/Medicaid/private) can cover substantially. Medical tourism cost for international patients is prohibitive without insurance.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4-8 weeks slot wait; 4-6 weeks manufacturing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European Union (Germany, France, Spain, etc.)</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EMA Approved (May 2022); Reimbursement varies by country (Germany and France: reimbursed; others: conditional)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EMA Approved (Aug 2021); Reimbursement varies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Similar to US list price but negotiated lower in most EU national formularies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$200,000–$500,000 USD equivalent including care costs depending on country</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Accessible at major academic centers (e.g., Germany: Dresden, Heidelberg; France: Paris; Spain: Salamanca). Waiting lists present but manageable.</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4-12 weeks depending on center capacity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United Kingdom (UK/NHS)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available under NHS — NICE approved for 3+ prior lines (June 2024)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NICE guidance restrictive; limited NHS access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NHS: negotiated confidential price; Patient cost: prohibitive without NHS coverage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NHS-covered for eligible patients. Private: ~£450,000–£600,000 GBP total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Available at ~30 NHS CAR-T approved centers. Strong NHS coverage for eligible patients is a key advantage.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6-12 weeks; significant demand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China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NMPA Approved (cilta-cel, 2024 for 4+ prior lines); Equecabtagene autoleucel approved 2023 for 4+ lines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approved; cilta-cel and domestic products used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in China: ~¥1,200,000–1,800,000 CNY (~$165,000–250,000 USD); CT103A: ~¥700,000–800,000 CNY (~$96,000–110,000 USD)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$150,000–$250,000 USD total (including care) — significantly lower than US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Available at major academic centers (Peking Union, Ruijin, Sun Yat-sen). Growing capacity. A realistic medical tourism option for Indian patients seeking lower cost.</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4-8 weeks typically; shorter manufacturing times for some domestic products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Japan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PMDA approval review in progress; expected 2025-2026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Limited access; regulatory review ongoing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When available: estimated ¥50,000,000–70,000,000 JPY (~$330,000–460,000 USD) — Japan typically prices at US parity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high cost expected; universal health insurance (UHI) coverage pending approval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Will be available at certified centers after approval. UHI coverage would make it affordable for Japanese residents but not medical tourists.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TBD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South Korea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Carvykti (cilta-cel) approved by MFDS — first and only BCMA CAR-T approved in Korea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approved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Korean list price not publicly disclosed; likely similar range to Japan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$150,000–$300,000 USD equivalent estimated total</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Available at major university hospitals (Asan, Samsung, Seoul National University)</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 wait time; growing capacity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Singapore / Thailand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domestically approved; accessible via medical tourism with US/EU products (imported on compassionate use basis at some centers)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approved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Full US list price for drug; hospital costs lower (~$50,000–100,000 USD/stay)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Estimated $500,000–700,000 USD total — similar to US for drug cost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Limited centers; feasibility depends on specific institution. Mount Elizabeth Singapore has explored CAR-T access.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Variable; may require prior authorization from manufacturer</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India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CDSCO approved (as of April 2026). No domestic BCMA CAR-T approved.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approved in India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N/A for domestic. If manufactured domestically in future: potentially ₹30-80 lakhs (~$35,000–96,000 USD) based on CD19 CAR-T precedent.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 commercial pathway currently. Clinical trial access only.</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LIMITED. Trial access at: Tata Memorial Centre (Mumbai), AIIMS Delhi, CMC Vellore, Amrita Institute, Apollo Hospitals. Tali-cel (CD19, by ImmunoACT) is approved but NOT for myeloma. No BCMA CAR-T approved.</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Trial slots extremely limited; waiting list of months at active sites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Canada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Health Canada approved; limited provincial reimbursement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Health Canada approved; limited access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List price similar to US; provincial coverage varies widely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$300,000–500,000 CAD (~$220,000–370,000 USD) out-of-pocket if not covered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Available at a few academic centers (Princess Margaret, Vancouver General, CHU de Quebec). Access improving but wait times long.</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8-16 weeks</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6.3  Special Focus: India — Realistic Access Pathways for This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200"/>
        <w:gridCol w:w="21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Pathway</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Feasibility</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Estimated Cost (USD)</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Best Centers</w:t>
            </w:r>
          </w:p>
        </w:tc>
        <w:tc>
          <w:tcPr>
            <w:tcW w:type="dxa" w:w="2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Key Challenges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BCMA CAR-T clinical trial at Indian center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LOW-MODERATE — depends on active trials at time of enrollment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Potentially zero cost for CAR-T drug (trial-funded); hospitalization costs apply (~INR 5-15 lakhs = $6,000–18,000 USD)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Tata Memorial, AIIMS Delhi, CMC Vellore, Amrita Institute (Kochi)</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Trial slot availability, eligibility criteria, competition for places, geographic travel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Domestic CD19 CAR-T (Tali-cel by ImmunoACT)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NOT APPLICABLE — Tali-cel targets CD19, not BCMA. NOT indicated for myeloma.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N/A</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Wrong target for myeloma — do not pursue this option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Medical tourism to China (cilta-cel or CT103A)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 — financially more accessible than US/EU. Requires visa, language support, family logistics.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$100,000–$200,000 USD total estimated (drug + travel + stay + monitoring)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Peking Union Medical College Hospital, Sun Yat-sen University Cancer Center, Ruijin Hospital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Language barrier, distance, need for post-CAR-T monitoring back in India, manufacturing logistics (local leukapheresis may not be accepted)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Medical tourism to USA or EU (cilta-cel commercial)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LOW — cost is prohibitive ($700,000–800,000 USD) for most Indian families without US-based insurance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$700,000–800,000 USD total</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MD Anderson, Mayo Clinic, Memorial Sloan Kettering (USA); University Hospital Salamanca (Spain) — world-renowned myeloma center</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Cost, visa, family logistics, prolonged stay required (3-6 months)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Compassionate use / Named Patient Programme (NPP) from Janssen India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 — Janssen has NPP mechanisms in some countries. Contact Janssen India/medical affairs directly.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$80,000–200,000 USD estimated if approved (no public pricing)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Application through treating oncologist; centers must apply on patient's behalf</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Requires treating physician to apply; approval not guaranteed; cost still high</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Bispecific antibodies (teclistamab, elranatamab) as CAR-T alternative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MODERATE-HIGH — More accessible than CAR-T. Imported product. May be available compassionate use at Amrita, Tata, Apollo.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$50,000–100,000 USD per year estimated (based on US costs, negotiated lower in India)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Amrita Hospital, Apollo Delhi/Hyderabad, Tata Memorial, Medanta Gurugram</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Repeated administration vs one-time CAR-T; infection risk; indefinite dosing required until progression</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6.4  Toxicity Comparison — cilta-cel vs ide-cel vs Bispecific Antibodies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200"/>
        <w:gridCol w:w="236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Toxicity</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Cilta-cel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Ide-cel</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Teclistamab</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Talquetamab</w:t>
            </w:r>
          </w:p>
        </w:tc>
        <w:tc>
          <w:tcPr>
            <w:tcW w:type="dxa" w:w="23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Clinical Relevance for This Patient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Cytokine Release Syndrome (CRS)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95% (5% grade ≥3)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84% (5% grade ≥3)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72% (3% grade ≥3)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77% (2% grade ≥3)</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ALL agents cause CRS. Grade 1-2 is manageable (tocilizumab). Grade 3+ requires ICU-level care. With CKD G3b, severe CRS could precipitate AKI — closest medical monitoring required.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ICANS (Neurotoxicity)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&lt;10%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~18%</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Bispecifics have LOWER neurotoxicity than either CAR-T. Important given patient age 69.</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Delayed neurotoxicity (movement/cranial)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3-5% (Parkinson-like, cranial nerve palsy — unique to cilta-cel)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&lt;1%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Rare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Rare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Cilta-cel-specific delayed neurotoxicity is irreversible in some cases. Must counsel patient and family.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Infections (grade 3+)</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30-35%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25-30%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21% pneumonia; 40%+ all-grade infections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25-35%</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RISK in this patient given IgM &lt;21, neutropenia. IVIG + prophylaxis MANDATORY.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Prolonged cytopenias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30-40% at 3 months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20-30%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15-25%</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Patient already has cytopenias. Prolonged cytopenias post-CAR-T can last months and require transfusion support.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GPRC5D-related (nail/skin/taste)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None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None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None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60-70% (usually grade 1-2; nail changes, dysgeusia, dry mouth, skin flaking)</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Unique to talquetamab. Manageable but affects quality of life. Important to counsel patient.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Renal toxicity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 — CRS-related transient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Mild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Generally low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Generally low</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lymphodepletion (flu/cy) can transiently worsen renal function. Bispecifics have minimal direct renal toxicity. All require careful monitoring.</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7.  Questions to Ask the Treating Oncologist</w:t>
      </w:r>
    </w:p>
    <w:p>
      <w:pPr>
        <w:spacing w:after="120"/>
      </w:pPr>
      <w:r>
        <w:rPr>
          <w:rFonts w:ascii="Arial" w:cs="Arial" w:eastAsia="Arial" w:hAnsi="Arial"/>
          <w:b/>
          <w:bCs/>
          <w:color w:val="1F3864"/>
          <w:sz w:val="22"/>
          <w:szCs w:val="22"/>
        </w:rPr>
        <w:t xml:space="preserve">These are the highest-priority questions based on the gaps and concerns identified in this analysis. Bring this list to the next clinic visit.</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7.1  Questions About Treatment History (Most Urgent)</w:t>
      </w:r>
    </w:p>
    <w:p>
      <w:pPr>
        <w:pStyle w:val="ListParagraph"/>
        <w:numPr>
          <w:ilvl w:val="0"/>
          <w:numId w:val="2"/>
        </w:numPr>
        <w:spacing w:after="80"/>
      </w:pPr>
      <w:r>
        <w:rPr>
          <w:rFonts w:ascii="Arial" w:cs="Arial" w:eastAsia="Arial" w:hAnsi="Arial"/>
          <w:b/>
          <w:bCs/>
          <w:color w:val="000000"/>
          <w:sz w:val="22"/>
          <w:szCs w:val="22"/>
        </w:rPr>
        <w:t xml:space="preserve">1. Was CAR-T therapy administered after the March 2024 recommendation? </w:t>
      </w:r>
      <w:r>
        <w:rPr>
          <w:rFonts w:ascii="Arial" w:cs="Arial" w:eastAsia="Arial" w:hAnsi="Arial"/>
          <w:color w:val="000000"/>
          <w:sz w:val="22"/>
          <w:szCs w:val="22"/>
        </w:rPr>
        <w:t xml:space="preserve">If yes: Which product (cilta-cel or ide-cel)? At which center? What was the response (MRD status, M-spike, FLC)?</w:t>
      </w:r>
    </w:p>
    <w:p>
      <w:pPr>
        <w:pStyle w:val="ListParagraph"/>
        <w:numPr>
          <w:ilvl w:val="0"/>
          <w:numId w:val="2"/>
        </w:numPr>
        <w:spacing w:after="80"/>
      </w:pPr>
      <w:r>
        <w:rPr>
          <w:rFonts w:ascii="Arial" w:cs="Arial" w:eastAsia="Arial" w:hAnsi="Arial"/>
          <w:b/>
          <w:bCs/>
          <w:color w:val="000000"/>
          <w:sz w:val="22"/>
          <w:szCs w:val="22"/>
        </w:rPr>
        <w:t xml:space="preserve">2. If CAR-T was not given, why not — and is it still being considered?</w:t>
      </w:r>
    </w:p>
    <w:p>
      <w:pPr>
        <w:pStyle w:val="ListParagraph"/>
        <w:numPr>
          <w:ilvl w:val="0"/>
          <w:numId w:val="2"/>
        </w:numPr>
        <w:spacing w:after="80"/>
      </w:pPr>
      <w:r>
        <w:rPr>
          <w:rFonts w:ascii="Arial" w:cs="Arial" w:eastAsia="Arial" w:hAnsi="Arial"/>
          <w:b/>
          <w:bCs/>
          <w:color w:val="000000"/>
          <w:sz w:val="22"/>
          <w:szCs w:val="22"/>
        </w:rPr>
        <w:t>3. Please confirm exact dates/doses of the documented carfilzomib + daratumumab + zoledronic acid + pomalidomide regimen, the reason for stopping on 04 Sep 2024, and whether any CAR-T, bispecific antibody, or clinical-trial therapy occurred outside reviewed records.</w:t>
      </w:r>
      <w:r>
        <w:rPr>
          <w:rFonts w:ascii="Arial" w:cs="Arial" w:eastAsia="Arial" w:hAnsi="Arial"/>
          <w:color w:val="000000"/>
          <w:sz w:val="22"/>
          <w:szCs w:val="22"/>
        </w:rPr>
      </w:r>
    </w:p>
    <w:p>
      <w:pPr>
        <w:pStyle w:val="ListParagraph"/>
        <w:numPr>
          <w:ilvl w:val="0"/>
          <w:numId w:val="2"/>
        </w:numPr>
        <w:spacing w:after="80"/>
      </w:pPr>
      <w:r>
        <w:rPr>
          <w:rFonts w:ascii="Arial" w:cs="Arial" w:eastAsia="Arial" w:hAnsi="Arial"/>
          <w:b/>
          <w:bCs/>
          <w:color w:val="000000"/>
          <w:sz w:val="22"/>
          <w:szCs w:val="22"/>
        </w:rPr>
        <w:t xml:space="preserve">4. Was the patient ever enrolled in a clinical trial between 2024 and 2026?</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7.2  Questions About Current Disease Status</w:t>
      </w:r>
    </w:p>
    <w:p>
      <w:pPr>
        <w:pStyle w:val="ListParagraph"/>
        <w:numPr>
          <w:ilvl w:val="0"/>
          <w:numId w:val="2"/>
        </w:numPr>
        <w:spacing w:after="80"/>
      </w:pPr>
      <w:r>
        <w:rPr>
          <w:rFonts w:ascii="Arial" w:cs="Arial" w:eastAsia="Arial" w:hAnsi="Arial"/>
          <w:b/>
          <w:bCs/>
          <w:color w:val="000000"/>
          <w:sz w:val="22"/>
          <w:szCs w:val="22"/>
        </w:rPr>
        <w:t xml:space="preserve">5. Has a repeat bone marrow biopsy been done since February 2024? </w:t>
      </w:r>
      <w:r>
        <w:rPr>
          <w:rFonts w:ascii="Arial" w:cs="Arial" w:eastAsia="Arial" w:hAnsi="Arial"/>
          <w:color w:val="000000"/>
          <w:sz w:val="22"/>
          <w:szCs w:val="22"/>
        </w:rPr>
        <w:t xml:space="preserve">If yes: what was the plasma cell percentage, and was FISH repeated? Has del(17p) emerged? Has t(11;14) been tested?</w:t>
      </w:r>
    </w:p>
    <w:p>
      <w:pPr>
        <w:pStyle w:val="ListParagraph"/>
        <w:numPr>
          <w:ilvl w:val="0"/>
          <w:numId w:val="2"/>
        </w:numPr>
        <w:spacing w:after="80"/>
      </w:pPr>
      <w:r>
        <w:rPr>
          <w:rFonts w:ascii="Arial" w:cs="Arial" w:eastAsia="Arial" w:hAnsi="Arial"/>
          <w:b/>
          <w:bCs/>
          <w:color w:val="000000"/>
          <w:sz w:val="22"/>
          <w:szCs w:val="22"/>
        </w:rPr>
        <w:t xml:space="preserve">6. Has recent imaging been done (PET/CT or MRI whole body)? </w:t>
      </w:r>
      <w:r>
        <w:rPr>
          <w:rFonts w:ascii="Arial" w:cs="Arial" w:eastAsia="Arial" w:hAnsi="Arial"/>
          <w:color w:val="000000"/>
          <w:sz w:val="22"/>
          <w:szCs w:val="22"/>
        </w:rPr>
        <w:t xml:space="preserve">The last documented scan was February 2024 — over 2 years ago. Given rising FLC and new hypercalcemia, updated imaging is essential.</w:t>
      </w:r>
    </w:p>
    <w:p>
      <w:pPr>
        <w:pStyle w:val="ListParagraph"/>
        <w:numPr>
          <w:ilvl w:val="0"/>
          <w:numId w:val="2"/>
        </w:numPr>
        <w:spacing w:after="80"/>
      </w:pPr>
      <w:r>
        <w:rPr>
          <w:rFonts w:ascii="Arial" w:cs="Arial" w:eastAsia="Arial" w:hAnsi="Arial"/>
          <w:b/>
          <w:bCs/>
          <w:color w:val="000000"/>
          <w:sz w:val="22"/>
          <w:szCs w:val="22"/>
        </w:rPr>
        <w:t xml:space="preserve">7. Is the mild hypercalcemia (10.4 mg/dL) causing symptoms? </w:t>
      </w:r>
      <w:r>
        <w:rPr>
          <w:rFonts w:ascii="Arial" w:cs="Arial" w:eastAsia="Arial" w:hAnsi="Arial"/>
          <w:color w:val="000000"/>
          <w:sz w:val="22"/>
          <w:szCs w:val="22"/>
        </w:rPr>
        <w:t xml:space="preserve">(Nausea, confusion, constipation, increased thirst/urination?)</w:t>
      </w:r>
    </w:p>
    <w:p>
      <w:pPr>
        <w:pStyle w:val="ListParagraph"/>
        <w:numPr>
          <w:ilvl w:val="0"/>
          <w:numId w:val="2"/>
        </w:numPr>
        <w:spacing w:after="80"/>
      </w:pPr>
      <w:r>
        <w:rPr>
          <w:rFonts w:ascii="Arial" w:cs="Arial" w:eastAsia="Arial" w:hAnsi="Arial"/>
          <w:b/>
          <w:bCs/>
          <w:color w:val="000000"/>
          <w:sz w:val="22"/>
          <w:szCs w:val="22"/>
        </w:rPr>
        <w:t xml:space="preserve">8. What is the patient's current ECOG performance status?</w:t>
      </w:r>
    </w:p>
    <w:p>
      <w:pPr>
        <w:pStyle w:val="ListParagraph"/>
        <w:numPr>
          <w:ilvl w:val="0"/>
          <w:numId w:val="2"/>
        </w:numPr>
        <w:spacing w:after="80"/>
      </w:pPr>
      <w:r>
        <w:rPr>
          <w:rFonts w:ascii="Arial" w:cs="Arial" w:eastAsia="Arial" w:hAnsi="Arial"/>
          <w:b/>
          <w:bCs/>
          <w:color w:val="000000"/>
          <w:sz w:val="22"/>
          <w:szCs w:val="22"/>
        </w:rPr>
        <w:t xml:space="preserve">9. What is the current nephrology assessment — is the CKD stable or worsening? </w:t>
      </w:r>
      <w:r>
        <w:rPr>
          <w:rFonts w:ascii="Arial" w:cs="Arial" w:eastAsia="Arial" w:hAnsi="Arial"/>
          <w:color w:val="000000"/>
          <w:sz w:val="22"/>
          <w:szCs w:val="22"/>
        </w:rPr>
        <w:t xml:space="preserve">Has a urine albumin/creatinine ratio been checked?</w:t>
      </w:r>
    </w:p>
    <w:p>
      <w:pPr>
        <w:pStyle w:val="ListParagraph"/>
        <w:numPr>
          <w:ilvl w:val="0"/>
          <w:numId w:val="2"/>
        </w:numPr>
        <w:spacing w:after="80"/>
      </w:pPr>
      <w:r>
        <w:rPr>
          <w:rFonts w:ascii="Arial" w:cs="Arial" w:eastAsia="Arial" w:hAnsi="Arial"/>
          <w:b/>
          <w:bCs/>
          <w:color w:val="000000"/>
          <w:sz w:val="22"/>
          <w:szCs w:val="22"/>
        </w:rPr>
        <w:t xml:space="preserve">10. Has urine protein electrophoresis (UPEP) been done? </w:t>
      </w:r>
      <w:r>
        <w:rPr>
          <w:rFonts w:ascii="Arial" w:cs="Arial" w:eastAsia="Arial" w:hAnsi="Arial"/>
          <w:color w:val="000000"/>
          <w:sz w:val="22"/>
          <w:szCs w:val="22"/>
        </w:rPr>
        <w:t xml:space="preserve">Is there any Bence-Jones proteinuria contributing to renal damage?</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7.3  Questions About Treatment Planning</w:t>
      </w:r>
    </w:p>
    <w:p>
      <w:pPr>
        <w:pStyle w:val="ListParagraph"/>
        <w:numPr>
          <w:ilvl w:val="0"/>
          <w:numId w:val="2"/>
        </w:numPr>
        <w:spacing w:after="80"/>
      </w:pPr>
      <w:r>
        <w:rPr>
          <w:rFonts w:ascii="Arial" w:cs="Arial" w:eastAsia="Arial" w:hAnsi="Arial"/>
          <w:b/>
          <w:bCs/>
          <w:color w:val="000000"/>
          <w:sz w:val="22"/>
          <w:szCs w:val="22"/>
        </w:rPr>
        <w:t xml:space="preserve">11. Is this patient eligible for any current clinical trials at Amrita Hospital, Tata Memorial, or another major Indian center </w:t>
      </w:r>
      <w:r>
        <w:rPr>
          <w:rFonts w:ascii="Arial" w:cs="Arial" w:eastAsia="Arial" w:hAnsi="Arial"/>
          <w:color w:val="000000"/>
          <w:sz w:val="22"/>
          <w:szCs w:val="22"/>
        </w:rPr>
        <w:t xml:space="preserve">— specifically for bispecific antibodies (teclistamab, elranatamab) or CAR-T?</w:t>
      </w:r>
    </w:p>
    <w:p>
      <w:pPr>
        <w:pStyle w:val="ListParagraph"/>
        <w:numPr>
          <w:ilvl w:val="0"/>
          <w:numId w:val="2"/>
        </w:numPr>
        <w:spacing w:after="80"/>
      </w:pPr>
      <w:r>
        <w:rPr>
          <w:rFonts w:ascii="Arial" w:cs="Arial" w:eastAsia="Arial" w:hAnsi="Arial"/>
          <w:b/>
          <w:bCs/>
          <w:color w:val="000000"/>
          <w:sz w:val="22"/>
          <w:szCs w:val="22"/>
        </w:rPr>
        <w:t xml:space="preserve">12. Has IVIG supplementation been discussed or started? </w:t>
      </w:r>
      <w:r>
        <w:rPr>
          <w:rFonts w:ascii="Arial" w:cs="Arial" w:eastAsia="Arial" w:hAnsi="Arial"/>
          <w:color w:val="000000"/>
          <w:sz w:val="22"/>
          <w:szCs w:val="22"/>
        </w:rPr>
        <w:t xml:space="preserve">Given IgM &lt;21 mg/dL and high infection risk, this is an important supportive measure.</w:t>
      </w:r>
    </w:p>
    <w:p>
      <w:pPr>
        <w:pStyle w:val="ListParagraph"/>
        <w:numPr>
          <w:ilvl w:val="0"/>
          <w:numId w:val="2"/>
        </w:numPr>
        <w:spacing w:after="80"/>
      </w:pPr>
      <w:r>
        <w:rPr>
          <w:rFonts w:ascii="Arial" w:cs="Arial" w:eastAsia="Arial" w:hAnsi="Arial"/>
          <w:b/>
          <w:bCs/>
          <w:color w:val="000000"/>
          <w:sz w:val="22"/>
          <w:szCs w:val="22"/>
        </w:rPr>
        <w:t xml:space="preserve">13. Is antiviral prophylaxis (acyclovir/valacyclovir) in place?</w:t>
      </w:r>
    </w:p>
    <w:p>
      <w:pPr>
        <w:pStyle w:val="ListParagraph"/>
        <w:numPr>
          <w:ilvl w:val="0"/>
          <w:numId w:val="2"/>
        </w:numPr>
        <w:spacing w:after="80"/>
      </w:pPr>
      <w:r>
        <w:rPr>
          <w:rFonts w:ascii="Arial" w:cs="Arial" w:eastAsia="Arial" w:hAnsi="Arial"/>
          <w:b/>
          <w:bCs/>
          <w:color w:val="000000"/>
          <w:sz w:val="22"/>
          <w:szCs w:val="22"/>
        </w:rPr>
        <w:t xml:space="preserve">14. Has a referral to a myeloma specialist at a high-volume center been made? </w:t>
      </w:r>
      <w:r>
        <w:rPr>
          <w:rFonts w:ascii="Arial" w:cs="Arial" w:eastAsia="Arial" w:hAnsi="Arial"/>
          <w:color w:val="000000"/>
          <w:sz w:val="22"/>
          <w:szCs w:val="22"/>
        </w:rPr>
        <w:t xml:space="preserve">(e.g., Tata Memorial Mumbai, Apollo Delhi/Hyderabad, CMC Vellore, AIIMS Delhi) — for second opinion and to assess CAR-T/bispecific eligibility?</w:t>
      </w:r>
    </w:p>
    <w:p>
      <w:pPr>
        <w:pStyle w:val="ListParagraph"/>
        <w:numPr>
          <w:ilvl w:val="0"/>
          <w:numId w:val="2"/>
        </w:numPr>
        <w:spacing w:after="80"/>
      </w:pPr>
      <w:r>
        <w:rPr>
          <w:rFonts w:ascii="Arial" w:cs="Arial" w:eastAsia="Arial" w:hAnsi="Arial"/>
          <w:b/>
          <w:bCs/>
          <w:color w:val="000000"/>
          <w:sz w:val="22"/>
          <w:szCs w:val="22"/>
        </w:rPr>
        <w:t xml:space="preserve">15. Has daratumumab re-challenge been considered? </w:t>
      </w:r>
      <w:r>
        <w:rPr>
          <w:rFonts w:ascii="Arial" w:cs="Arial" w:eastAsia="Arial" w:hAnsi="Arial"/>
          <w:color w:val="000000"/>
          <w:sz w:val="22"/>
          <w:szCs w:val="22"/>
        </w:rPr>
        <w:t xml:space="preserve">Given that the patient received daratumumab in first line over 2 years ago, re-challenge (particularly as DPd — daratumumab + pomalidomide + dexamethasone) may have meaningful activity.</w:t>
      </w:r>
    </w:p>
    <w:p>
      <w:pPr>
        <w:pStyle w:val="ListParagraph"/>
        <w:numPr>
          <w:ilvl w:val="0"/>
          <w:numId w:val="2"/>
        </w:numPr>
        <w:spacing w:after="80"/>
      </w:pPr>
      <w:r>
        <w:rPr>
          <w:rFonts w:ascii="Arial" w:cs="Arial" w:eastAsia="Arial" w:hAnsi="Arial"/>
          <w:b/>
          <w:bCs/>
          <w:color w:val="000000"/>
          <w:sz w:val="22"/>
          <w:szCs w:val="22"/>
        </w:rPr>
        <w:t xml:space="preserve">16. Should zoledronic acid be switched to denosumab given CKD G3b and hypercalcemia?</w:t>
      </w:r>
    </w:p>
    <w:p>
      <w:pPr>
        <w:pStyle w:val="ListParagraph"/>
        <w:numPr>
          <w:ilvl w:val="0"/>
          <w:numId w:val="2"/>
        </w:numPr>
        <w:spacing w:after="80"/>
      </w:pPr>
      <w:r>
        <w:rPr>
          <w:rFonts w:ascii="Arial" w:cs="Arial" w:eastAsia="Arial" w:hAnsi="Arial"/>
          <w:b/>
          <w:bCs/>
          <w:color w:val="000000"/>
          <w:sz w:val="22"/>
          <w:szCs w:val="22"/>
        </w:rPr>
        <w:t xml:space="preserve">17. Given the strong family history (mother + maternal uncle), has germline genetic testing been discussed?</w:t>
      </w:r>
    </w:p>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8.  Missing Information That Could Change the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Missing Data</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Why Critical</w:t>
            </w:r>
          </w:p>
        </w:tc>
        <w:tc>
          <w:tcPr>
            <w:tcW w:type="dxa" w:w="3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Impact on Recommendations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Treatment reconciliation 2024–2026 (MOST CRITICAL)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The main treatment gap is now partly filled, but exact dates, doses, discontinuation reasons, and any undocumented CAR-T/bispecific/trial exposure still need physician confirmation.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Could completely change the treatment pathway. If CAR-T was given and failed, options are far more limited. If bispecifics were tried, BCMA-naive status may no longer apply.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Repeat bone marrow biopsy (since Feb 2024)</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Cytogenetic evolution (especially del(17p) emergence) is common in relapsed myeloma and dramatically changes prognosis and treatment urgency. Plasma cell percentage update would quantify current marrow burden.</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Del(17p) emergence → ultra-high risk → changes treatment priority and eligibility for certain trials. t(11;14) detection → venetoclax eligibility.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Recent imaging (PET/CT or whole body MRI)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Last imaging was February 2024. Over 2 years have passed. New lytic lesions, cord compression, extramedullary disease, or plasmacytomas would all change the clinical picture and require immediate intervention.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Extramedullary disease is a known adverse prognostic feature and may not respond as well to standard therapy.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Current ECOG performance status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 and bispecific antibody eligibility formally requires ECOG PS 0-2. Performance status is the single most important variable in determining treatment intensity.</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Poor PS (3-4) would limit intensive therapy options to palliative/gentle regimens.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Beta-2 microglobulin (April 2026)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The most recent B2M was 10,244 ng/mL (Aug 2025) — extremely elevated. Not rechecked in April 2026. Trend would clarify whether this reflects CKD plateau or active disease progression.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Very high B2M correlates with tumor burden and is a direct ISS III staging criterion. If driven by disease alone (not just CKD), prognosis is significantly worse.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LDH (April 2026)</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LDH reflects high-turnover disease and extramedullary involvement. Not measured in the current panel.</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Elevated LDH doubles the risk classification in R-ISS (R-ISS III). Changes treatment urgency.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t(11;14) FISH testing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Never documented as tested. If t(11;14) is present, venetoclax has remarkable single-agent activity (~75% ORR in t(11;14) myeloma) and is an important option.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Positive t(11;14) → venetoclax + dexamethasone is a meaningful, orally available option; safe in CKD.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FISH/cytogenetics at relapse (Feb 2024 or later)</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The original FISH only covers the June 2022 clone. Clonal evolution is universal in RRMM. Del(17p) acquired at relapse in 15-20% of cases.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Del(17p) acquisition → ultra-high-risk; changes trial eligibility and treatment urgency. Absence of del(17p) at relapse → less aggressive biology.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Urine protein electrophoresis (UPEP) and urine FLC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Free light chain nephropathy is a major cause of CKD in myeloma. If kappa light chains are appearing in urine, they are actively damaging tubules and the priority shifts to rapidly reducing FLC burden.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If tubular damage is from light chains → immediate aggressive therapy to reduce FLC is a renal survival measure, not just myeloma control.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Cardiac evaluation (echo, ECG, troponin)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Troponin I was elevated in September 2024 hospitalization. Before carfilzomib or any cardiotoxic therapy, cardiac function must be established.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Significant cardiac impairment would contraindicate carfilzomib completely and require dose modification for some bispecifics.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Geriatric assessment / frailty score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For a 69-year-old with multiple comorbidities, a formal frailty assessment (IMWG Frailty Score or Rockwood CFS) would guide therapy intensity.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Frail patients tolerate lower intensity regimens; fit elderly patients can receive standard intensive therapy including CAR-T.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Germline genetic testing (given family history)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Mother and maternal uncle both had multiple myeloma — this is unusual clustering. BRCA1/2, PALB2, and other germline alterations have been reported in myeloma families. Testing could identify heritable risk for other family members.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Could identify specific vulnerabilities that make the myeloma more or less sensitive to certain approaches (e.g., PARP inhibitors in BRCA2-mutated disease).</w:t>
            </w:r>
          </w:p>
        </w:tc>
      </w:tr>
    </w:tbl>
    <w:p>
      <w:pPr>
        <w:spacing w:after="60"/>
      </w:pPr>
      <w:r>
        <w:t xml:space="preserve"/>
      </w:r>
    </w:p>
    <w:p>
      <w:r>
        <w:br w:type="page"/>
      </w:r>
    </w:p>
    <w:p>
      <w:pPr>
        <w:pStyle w:val="Heading1"/>
        <w:shd w:fill="1F3864" w:val="clear"/>
        <w:spacing w:after="200" w:before="360"/>
        <w:ind w:left="200" w:right="200"/>
      </w:pPr>
      <w:r>
        <w:rPr>
          <w:rFonts w:ascii="Arial" w:cs="Arial" w:eastAsia="Arial" w:hAnsi="Arial"/>
          <w:b/>
          <w:bCs/>
          <w:color w:val="FFFFFF"/>
          <w:sz w:val="36"/>
          <w:szCs w:val="36"/>
        </w:rPr>
        <w:t xml:space="preserve">9.  Bottom-Line Takeaway</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9.1  Clinical Summary in Plain Language</w:t>
      </w:r>
    </w:p>
    <w:p>
      <w:pPr>
        <w:spacing w:after="120"/>
      </w:pPr>
      <w:r>
        <w:rPr>
          <w:rFonts w:ascii="Arial" w:cs="Arial" w:eastAsia="Arial" w:hAnsi="Arial"/>
          <w:color w:val="000000"/>
          <w:sz w:val="22"/>
          <w:szCs w:val="22"/>
        </w:rPr>
        <w:t xml:space="preserve">Mr. Vipan Kumar Garg is a 69-year-old man with IgG-kappa multiple myeloma diagnosed in June 2022. He responded beautifully to his first treatment, achieving a complete, MRD-negative remission that lasted approximately 15 months. His myeloma returned in December 2023-February 2024, confirmed by both blood markers and bone marrow, with active bone lesions. A severe kidney episode in September 2024 complicated his care significantly. Since then, the myeloma has persisted at a low level without ever disappearing again. The most recent labs from April 2026 show a worrying increase in the myeloma protein (kappa free light chain more than doubled in 8 months), a mild rise in calcium, and worsening blood counts — all signals that the myeloma is actively growing and requires urgent treatment.</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9.2  The Four Most Urgent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EE8E2" w:val="clear"/>
            <w:tcMar>
              <w:top w:type="dxa" w:w="120"/>
              <w:left w:type="dxa" w:w="180"/>
              <w:bottom w:type="dxa" w:w="120"/>
              <w:right w:type="dxa" w:w="180"/>
            </w:tcMar>
          </w:tcPr>
          <w:p>
            <w:pPr>
              <w:spacing w:after="80"/>
            </w:pPr>
            <w:r>
              <w:rPr>
                <w:rFonts w:ascii="Arial" w:cs="Arial" w:eastAsia="Arial" w:hAnsi="Arial"/>
                <w:b/>
                <w:bCs/>
                <w:color w:val="1F3864"/>
                <w:sz w:val="22"/>
                <w:szCs w:val="22"/>
              </w:rPr>
              <w:t>Priority 1 — Reconcile newly found treatment history with the treating oncologist</w:t>
            </w:r>
          </w:p>
          <w:p>
            <w:pPr>
              <w:spacing w:after="60"/>
            </w:pPr>
            <w:r>
              <w:rPr>
                <w:rFonts w:ascii="Arial" w:cs="Arial" w:eastAsia="Arial" w:hAnsi="Arial"/>
                <w:color w:val="1F3864"/>
                <w:sz w:val="20"/>
                <w:szCs w:val="20"/>
              </w:rPr>
              <w:t>Before any treatment decision: verify the newly found Drive history with the treating team: carfilzomib + daratumumab + zoledronic acid + pomalidomide through 04 Sep 2024, severe AKI/TMA, and Jan 2025 maintenance daratumumab + pomalidomide. Also confirm that no CAR-T, bispecific, or clinical-trial therapy was given.</w:t>
            </w:r>
          </w:p>
          <w:p>
            <w:pPr>
              <w:spacing w:after="60"/>
            </w:pPr>
            <w:r>
              <w:rPr>
                <w:rFonts w:ascii="Arial" w:cs="Arial" w:eastAsia="Arial" w:hAnsi="Arial"/>
                <w:color w:val="1F3864"/>
                <w:sz w:val="20"/>
                <w:szCs w:val="20"/>
              </w:rPr>
              <w:t xml:space="preserve">This single piece of information determines everything that follows.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Priority 2 — Bone marrow biopsy and imaging URGENTLY</w:t>
            </w:r>
          </w:p>
          <w:p>
            <w:pPr>
              <w:spacing w:after="60"/>
            </w:pPr>
            <w:r>
              <w:rPr>
                <w:rFonts w:ascii="Arial" w:cs="Arial" w:eastAsia="Arial" w:hAnsi="Arial"/>
                <w:color w:val="1F3864"/>
                <w:sz w:val="20"/>
                <w:szCs w:val="20"/>
              </w:rPr>
              <w:t xml:space="preserve">Repeat bone marrow biopsy with comprehensive FISH panel (including del17p, t11;14, t4;14, 1q gain assessment) has not been done since February 2024.</w:t>
            </w:r>
          </w:p>
          <w:p>
            <w:pPr>
              <w:spacing w:after="60"/>
            </w:pPr>
            <w:r>
              <w:rPr>
                <w:rFonts w:ascii="Arial" w:cs="Arial" w:eastAsia="Arial" w:hAnsi="Arial"/>
                <w:color w:val="1F3864"/>
                <w:sz w:val="20"/>
                <w:szCs w:val="20"/>
              </w:rPr>
              <w:t xml:space="preserve">PET/CT or whole body MRI to assess skeletal and soft tissue disease burden — last done February 2024.</w:t>
            </w:r>
          </w:p>
          <w:p>
            <w:pPr>
              <w:spacing w:after="60"/>
            </w:pPr>
            <w:r>
              <w:rPr>
                <w:rFonts w:ascii="Arial" w:cs="Arial" w:eastAsia="Arial" w:hAnsi="Arial"/>
                <w:color w:val="1F3864"/>
                <w:sz w:val="20"/>
                <w:szCs w:val="20"/>
              </w:rPr>
              <w:t xml:space="preserve">These results will immediately impact treatment selection and eligibility for CAR-T or clinical trials.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Priority 3 — Pursue CAR-T or bispecific antibody access NOW</w:t>
            </w:r>
          </w:p>
          <w:p>
            <w:pPr>
              <w:spacing w:after="60"/>
            </w:pPr>
            <w:r>
              <w:rPr>
                <w:rFonts w:ascii="Arial" w:cs="Arial" w:eastAsia="Arial" w:hAnsi="Arial"/>
                <w:color w:val="1F3864"/>
                <w:sz w:val="20"/>
                <w:szCs w:val="20"/>
              </w:rPr>
              <w:t xml:space="preserve">If CAR-T has not been given: Cilta-cel (Carvykti) is the recommended option. Pursue urgently through: (a) clinical trial at Tata Memorial, AIIMS, or Amrita; (b) compassionate use via Janssen India medical affairs; (c) medical tourism to China if cost permits.</w:t>
            </w:r>
          </w:p>
          <w:p>
            <w:pPr>
              <w:spacing w:after="60"/>
            </w:pPr>
            <w:r>
              <w:rPr>
                <w:rFonts w:ascii="Arial" w:cs="Arial" w:eastAsia="Arial" w:hAnsi="Arial"/>
                <w:color w:val="1F3864"/>
                <w:sz w:val="20"/>
                <w:szCs w:val="20"/>
              </w:rPr>
              <w:t xml:space="preserve">If CAR-T is not accessible immediately: Start bispecific antibody (teclistamab or talquetamab) as bridge therapy. Contact oncology departments at Apollo, Medanta, Amrita, or Tata Memorial regarding compassionate use / import.</w:t>
            </w:r>
          </w:p>
          <w:p>
            <w:pPr>
              <w:spacing w:after="60"/>
            </w:pPr>
            <w:r>
              <w:rPr>
                <w:rFonts w:ascii="Arial" w:cs="Arial" w:eastAsia="Arial" w:hAnsi="Arial"/>
                <w:color w:val="1F3864"/>
                <w:sz w:val="20"/>
                <w:szCs w:val="20"/>
              </w:rPr>
              <w:t xml:space="preserve">If bispecifics are not accessible: Start DPd (Daratumumab + Pomalidomide + Dexamethasone) — this is available in India and is a recognized standard-of-care option.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D6E4F7" w:val="clear"/>
            <w:tcMar>
              <w:top w:type="dxa" w:w="120"/>
              <w:left w:type="dxa" w:w="180"/>
              <w:bottom w:type="dxa" w:w="120"/>
              <w:right w:type="dxa" w:w="180"/>
            </w:tcMar>
          </w:tcPr>
          <w:p>
            <w:pPr>
              <w:spacing w:after="80"/>
            </w:pPr>
            <w:r>
              <w:rPr>
                <w:rFonts w:ascii="Arial" w:cs="Arial" w:eastAsia="Arial" w:hAnsi="Arial"/>
                <w:b/>
                <w:bCs/>
                <w:color w:val="1F3864"/>
                <w:sz w:val="22"/>
                <w:szCs w:val="22"/>
              </w:rPr>
              <w:t xml:space="preserve">Priority 4 — Aggressive supportive care during any therapy</w:t>
            </w:r>
          </w:p>
          <w:p>
            <w:pPr>
              <w:spacing w:after="60"/>
            </w:pPr>
            <w:r>
              <w:rPr>
                <w:rFonts w:ascii="Arial" w:cs="Arial" w:eastAsia="Arial" w:hAnsi="Arial"/>
                <w:color w:val="1F3864"/>
                <w:sz w:val="20"/>
                <w:szCs w:val="20"/>
              </w:rPr>
              <w:t xml:space="preserve">IVIG supplementation: Discuss with oncologist immediately given IgM &lt;21 mg/dL.</w:t>
            </w:r>
          </w:p>
          <w:p>
            <w:pPr>
              <w:spacing w:after="60"/>
            </w:pPr>
            <w:r>
              <w:rPr>
                <w:rFonts w:ascii="Arial" w:cs="Arial" w:eastAsia="Arial" w:hAnsi="Arial"/>
                <w:color w:val="1F3864"/>
                <w:sz w:val="20"/>
                <w:szCs w:val="20"/>
              </w:rPr>
              <w:t xml:space="preserve">Antiviral prophylaxis: Acyclovir 400 mg twice daily.</w:t>
            </w:r>
          </w:p>
          <w:p>
            <w:pPr>
              <w:spacing w:after="60"/>
            </w:pPr>
            <w:r>
              <w:rPr>
                <w:rFonts w:ascii="Arial" w:cs="Arial" w:eastAsia="Arial" w:hAnsi="Arial"/>
                <w:color w:val="1F3864"/>
                <w:sz w:val="20"/>
                <w:szCs w:val="20"/>
              </w:rPr>
              <w:t xml:space="preserve">Nephrology co-management: Essential for any new therapy given eGFR 40 and prior AKI.</w:t>
            </w:r>
          </w:p>
          <w:p>
            <w:pPr>
              <w:spacing w:after="60"/>
            </w:pPr>
            <w:r>
              <w:rPr>
                <w:rFonts w:ascii="Arial" w:cs="Arial" w:eastAsia="Arial" w:hAnsi="Arial"/>
                <w:color w:val="1F3864"/>
                <w:sz w:val="20"/>
                <w:szCs w:val="20"/>
              </w:rPr>
              <w:t xml:space="preserve">Hypercalcemia: Start denosumab (preferred over zoledronic acid in CKD) 120 mg SC monthly.</w:t>
            </w:r>
          </w:p>
          <w:p>
            <w:pPr>
              <w:spacing w:after="60"/>
            </w:pPr>
            <w:r>
              <w:rPr>
                <w:rFonts w:ascii="Arial" w:cs="Arial" w:eastAsia="Arial" w:hAnsi="Arial"/>
                <w:color w:val="1F3864"/>
                <w:sz w:val="20"/>
                <w:szCs w:val="20"/>
              </w:rPr>
              <w:t xml:space="preserve">G-CSF support (filgrastim/pegfilgrastim): Before starting any cytotoxic therapy.</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9.3  Treatment Priority Ranking for This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00"/>
        <w:gridCol w:w="2060"/>
      </w:tblGrid>
      <w:tr>
        <w:trPr>
          <w:tblHeader/>
        </w:trPr>
        <w:tc>
          <w:tcPr>
            <w:tcW w:type="dxa" w:w="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Rank</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Treatment Option</w:t>
            </w:r>
          </w:p>
        </w:tc>
        <w:tc>
          <w:tcPr>
            <w:tcW w:type="dxa" w:w="4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Rationale</w:t>
            </w:r>
          </w:p>
        </w:tc>
        <w:tc>
          <w:tcPr>
            <w:tcW w:type="dxa" w:w="20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Where to Pursue in India</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 (Best)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CAR-T — if CAR-T not yet given</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One-time treatment with potential for 5-year remission. Best long-term outcome data. BCMA-naive patient → highest response rates.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Clinical trial at Tata Memorial, Amrita, or AIIMS; Compassionate use via Janssen India; Medical tourism to China</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Bispecific antibody (teclistamab or talquetamab)</w:t>
            </w:r>
          </w:p>
        </w:tc>
        <w:tc>
          <w:tcPr>
            <w:tcW w:type="dxa" w:w="4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No ex-vivo manufacturing needed. Can start in weeks. ORR 63-68%. Good response depth. Can bridge to CAR-T or serve as definitive therapy.</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Apollo Hospitals, Medanta, Amrita Institute, Tata Memorial — as import / compassionate use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Daratumumab + Pomalidomide + Dex (DPd; note patient already has documented maintenance daratumumab + pomalidomide exposure from Jan 2025)</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Commercially available in India. Oral backbone. Tolerable in CKD. ORR ~69%. Meaningful disease control.</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Available at any major oncology center in India with daratumumab access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IsaPd (Isatuximab + Pomalidomide + Dex)</w:t>
            </w:r>
          </w:p>
        </w:tc>
        <w:tc>
          <w:tcPr>
            <w:tcW w:type="dxa" w:w="4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Alternative CD38 antibody. Active in dara-exposed patients (lower ORR ~25-30% in dara-exposed). Import required.</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Select major centers; import through Sanofi India</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Selinexor + Dex or XVd</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Oral agent with specific benefit in +1q patients. Requires careful supportive care. Hyponatremia risk with CKD.</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Limited availability in India; compassionate use or medical tourism if needed</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AVOID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Carfilzomib-containing regimens (as standalone choice)</w:t>
            </w:r>
          </w:p>
        </w:tc>
        <w:tc>
          <w:tcPr>
            <w:tcW w:type="dxa" w:w="4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High renal toxicity risk given eGFR 40, prior severe AKI, and prior troponin elevation. If used, only under nephrology + cardiology co-management at a specialist center.</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w:t>
            </w:r>
          </w:p>
        </w:tc>
      </w:tr>
    </w:tbl>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9.4  The Familial Myeloma Context — An Important Signal</w:t>
      </w:r>
    </w:p>
    <w:p>
      <w:pPr>
        <w:spacing w:after="120"/>
      </w:pPr>
      <w:r>
        <w:rPr>
          <w:rFonts w:ascii="Arial" w:cs="Arial" w:eastAsia="Arial" w:hAnsi="Arial"/>
          <w:color w:val="000000"/>
          <w:sz w:val="22"/>
          <w:szCs w:val="22"/>
        </w:rPr>
        <w:t xml:space="preserve">The occurrence of multiple myeloma in this patient, his mother, AND his maternal uncle is highly unusual. Familial myeloma clustering has been linked to germline variants in genes including </w:t>
      </w:r>
      <w:r>
        <w:rPr>
          <w:rFonts w:ascii="Arial" w:cs="Arial" w:eastAsia="Arial" w:hAnsi="Arial"/>
          <w:i/>
          <w:iCs/>
          <w:color w:val="000000"/>
          <w:sz w:val="22"/>
          <w:szCs w:val="22"/>
        </w:rPr>
        <w:t xml:space="preserve">BRCA2, CDKN2A, PTPN11</w:t>
      </w:r>
      <w:r>
        <w:rPr>
          <w:rFonts w:ascii="Arial" w:cs="Arial" w:eastAsia="Arial" w:hAnsi="Arial"/>
          <w:color w:val="000000"/>
          <w:sz w:val="22"/>
          <w:szCs w:val="22"/>
        </w:rPr>
        <w:t xml:space="preserve">, and other DNA repair pathways. While this does not change immediate treatment decisions, it has two important implications:</w:t>
      </w:r>
    </w:p>
    <w:p>
      <w:pPr>
        <w:pStyle w:val="ListParagraph"/>
        <w:numPr>
          <w:ilvl w:val="0"/>
          <w:numId w:val="2"/>
        </w:numPr>
        <w:spacing w:after="80"/>
      </w:pPr>
      <w:r>
        <w:rPr>
          <w:rFonts w:ascii="Arial" w:cs="Arial" w:eastAsia="Arial" w:hAnsi="Arial"/>
          <w:b/>
          <w:bCs/>
          <w:color w:val="000000"/>
          <w:sz w:val="22"/>
          <w:szCs w:val="22"/>
        </w:rPr>
        <w:t xml:space="preserve">For the patient: </w:t>
      </w:r>
      <w:r>
        <w:rPr>
          <w:rFonts w:ascii="Arial" w:cs="Arial" w:eastAsia="Arial" w:hAnsi="Arial"/>
          <w:color w:val="000000"/>
          <w:sz w:val="22"/>
          <w:szCs w:val="22"/>
        </w:rPr>
        <w:t xml:space="preserve">Germline testing may identify specific vulnerabilities that could affect therapy choice (e.g., PARP inhibitor sensitivity in BRCA2-mutated disease) or identify targetable pathways.</w:t>
      </w:r>
    </w:p>
    <w:p>
      <w:pPr>
        <w:pStyle w:val="ListParagraph"/>
        <w:numPr>
          <w:ilvl w:val="0"/>
          <w:numId w:val="2"/>
        </w:numPr>
        <w:spacing w:after="80"/>
      </w:pPr>
      <w:r>
        <w:rPr>
          <w:rFonts w:ascii="Arial" w:cs="Arial" w:eastAsia="Arial" w:hAnsi="Arial"/>
          <w:b/>
          <w:bCs/>
          <w:color w:val="000000"/>
          <w:sz w:val="22"/>
          <w:szCs w:val="22"/>
        </w:rPr>
        <w:t xml:space="preserve">For the family: </w:t>
      </w:r>
      <w:r>
        <w:rPr>
          <w:rFonts w:ascii="Arial" w:cs="Arial" w:eastAsia="Arial" w:hAnsi="Arial"/>
          <w:color w:val="000000"/>
          <w:sz w:val="22"/>
          <w:szCs w:val="22"/>
        </w:rPr>
        <w:t xml:space="preserve">First-degree relatives (children) of this patient are at elevated risk and should be counseled about periodic surveillance (serum protein electrophoresis, free light chains starting at age 40).</w:t>
      </w:r>
    </w:p>
    <w:p>
      <w:pPr>
        <w:spacing w:after="60"/>
      </w:pPr>
      <w:r>
        <w:t xml:space="preserve"/>
      </w:r>
    </w:p>
    <w:p>
      <w:pPr>
        <w:pStyle w:val="Heading2"/>
        <w:pBdr>
          <w:bottom w:val="single" w:color="2E5FA3" w:sz="4"/>
        </w:pBdr>
        <w:spacing w:after="160" w:before="280"/>
      </w:pPr>
      <w:r>
        <w:rPr>
          <w:rFonts w:ascii="Arial" w:cs="Arial" w:eastAsia="Arial" w:hAnsi="Arial"/>
          <w:b/>
          <w:bCs/>
          <w:color w:val="1F3864"/>
          <w:sz w:val="28"/>
          <w:szCs w:val="28"/>
        </w:rPr>
        <w:t xml:space="preserve">9.5  Final Statement</w:t>
      </w:r>
    </w:p>
    <w:p>
      <w:pPr>
        <w:spacing w:after="120"/>
      </w:pPr>
      <w:r>
        <w:rPr>
          <w:rFonts w:ascii="Arial" w:cs="Arial" w:eastAsia="Arial" w:hAnsi="Arial"/>
          <w:b/>
          <w:bCs/>
          <w:color w:val="1F3864"/>
          <w:sz w:val="22"/>
          <w:szCs w:val="22"/>
        </w:rPr>
        <w:t xml:space="preserve">This patient has a disease that responded extraordinarily well once, and the biology suggests it can respond again. The presence of 1q gain, CKD G3b, cytopenias, and daratumumab/bortezomib exposure are real challenges, but none of them are absolute bars to achieving another deep and meaningful remission. The kappa FLC trajectory in April 2026 represents an urgent call to action. The window for optimal therapy — particularly CAR-T, when the patient still has good performance reserve — should not be wasted. With the right treatment at a center experienced in managing this disease, there is a realistic path to years of additional life with acceptable quality. The time to act is now.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Source / Reference</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Context</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CARTITUDE-1 5-Year Data (JCO, 2025): ascopubs.org/doi/10.1200/JCO-25-00760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Cilta-cel long-term outcomes; median OS 60.7 months; 33% 5-year PFS</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APOLLO Trial (NEJM): Daratumumab + pomalidomide + dex in relapsed myeloma</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DPd: median PFS 12.4 months in lenalidomide-refractory; ORR 69%</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MajesTEC-1 (NEJM): Teclistamab in RRMM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ORR 63%; confirmed durable responses at 24-month follow-up</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MajesTEC-7 (NEJM, 2025): Teclistamab + Daratumumab vs standard</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83% 3-year PFS vs 30% standard — landmark combination data</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MonumenTAL-1: Talquetamab in RRMM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ORR 68%; GPRC5D target; unique nail/skin toxicity profile</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MagnetisMM-3: Elranatamab in RRMM</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ORR 61%; median PFS ~17 months at 24 months; SC dosing</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BOSTON Trial (Lancet): Selinexor + bortezomib + dex in RRMM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XVd vs Vd: improved PFS; specific benefit in +1q patients</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EHA-EMN Guidelines (Nature Rev Clin Oncol, 2025): nature.com/articles/s41571-025-01041-x</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Most recent comprehensive European myeloma management guidelines</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ASH 2025 Updates on Myeloma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hematologyadvisor.com/indepth/ash-2025-multiple-myeloma-treatment-outcomes-risk-updates</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Real-World CAR-T Study (MDPI, 2026): mdpi.com/2072-6694/18/6/1013</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1,272 real-world patients with cilta-cel and ide-cel; 12-month OS 89.6% vs 86.0%</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IMWG Diagnostic Criteria (2014 update)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FLC ratio &gt;100 with involved FLC ≥100 mg/L as myeloma-defining event (not met in this patient currently)</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India CAR-T Access Data (ASH Blood ICT, 2025): ashpublications.org/bloodict/article/2/1/100026</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Tali-cel real-world data in India; &gt;400 leukaphereses; NOTE: CD19, not BCMA</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Chromosome 1q21 Abnormalities Review (Blood Cancer J, 2021): nature.com/articles/s41408-021-00474-8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1q gain prognosis, heterogeneity by copy number and co-mutations</w:t>
            </w:r>
          </w:p>
        </w:tc>
      </w:tr>
      <w:tr>
        <w:tc>
          <w:tcPr>
            <w:tcW w:type="dxa" w:w="5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Component Costs of CAR-T (PMC): pmc.ncbi.nlm.nih.gov/articles/PMC10260711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Total treatment costs for CAR-T: ~$700,000 USD in US setting</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Carvykti China Approval (CGTlive): cgtlive.com/view/legend-biotech-car-t-carvykti-approved-mm-indication-china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000000"/>
                <w:sz w:val="20"/>
                <w:szCs w:val="20"/>
              </w:rPr>
              <w:t xml:space="preserve">NMPA approval of cilta-cel in China for RRMM</w:t>
            </w:r>
          </w:p>
        </w:tc>
      </w:tr>
    </w:tbl>
    <w:p>
      <w:pPr>
        <w:spacing w:after="60"/>
      </w:pPr>
      <w:r>
        <w:t xml:space="preserve"/>
      </w:r>
    </w:p>
    <w:p>
      <w:pPr>
        <w:pBdr>
          <w:top w:val="single" w:color="D9D9D9" w:sz="3"/>
        </w:pBdr>
        <w:spacing w:before="200"/>
        <w:jc w:val="center"/>
      </w:pPr>
      <w:r>
        <w:rPr>
          <w:rFonts w:ascii="Arial" w:cs="Arial" w:eastAsia="Arial" w:hAnsi="Arial"/>
          <w:i/>
          <w:iCs/>
          <w:color w:val="777777"/>
          <w:sz w:val="18"/>
          <w:szCs w:val="18"/>
        </w:rPr>
        <w:t xml:space="preserve">Report prepared April 2026 | Based on all available records through April 15, 2026 | For treating physician review only | This document is not a substitute for individualized clinical judgment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3"/>
      </w:pBdr>
      <w:spacing w:before="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AAAAAA"/>
        <w:sz w:val="16"/>
        <w:szCs w:val="16"/>
      </w:rPr>
      <w:t xml:space="preserve">  |  For Treating Physician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3"/>
      </w:pBdr>
      <w:spacing w:after="0"/>
    </w:pPr>
    <w:r>
      <w:rPr>
        <w:rFonts w:ascii="Arial" w:cs="Arial" w:eastAsia="Arial" w:hAnsi="Arial"/>
        <w:i/>
        <w:iCs/>
        <w:color w:val="888888"/>
        <w:sz w:val="16"/>
        <w:szCs w:val="16"/>
      </w:rPr>
      <w:t xml:space="preserve">CONFIDENTIAL — Vipan Kumar Garg | Multiple Myeloma Clinical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F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2026-04-16T02:17:00.446Z</dcterms:created>
  <dcterms:modified xsi:type="dcterms:W3CDTF">2026-04-16T02:17:00.447Z</dcterms:modified>
</cp:coreProperties>
</file>

<file path=docProps/custom.xml><?xml version="1.0" encoding="utf-8"?>
<Properties xmlns="http://schemas.openxmlformats.org/officeDocument/2006/custom-properties" xmlns:vt="http://schemas.openxmlformats.org/officeDocument/2006/docPropsVTypes"/>
</file>