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rPr>
        <w:t>May 2026 history-gap correction: Google Drive review now documents the missing 2024-2025 bridge. After the February 2024 relapse and March 2024 CAR-T recommendation, no reviewed record confirms CAR-T was administered. The documented post-relapse regimen was 6 cycles of carfilzomib + daratumumab + zoledronic acid + pomalidomide until 04 Sep 2024, followed by severe AKI/anuria and kidney-biopsy context of post-carfilzomib thrombotic microangiopathy. From Jan 2025, maintenance daratumumab + pomalidomide is documented; on 21 Aug 2025 the patient received Cycle 20 Day 1 maintenance daratumumab plus denosumab, with pomalidomide continued.</w:t>
      </w:r>
    </w:p>
    <w:p>
      <w:pPr>
        <w:spacing w:after="0" w:before="1440"/>
      </w:pPr>
    </w:p>
    <w:p>
      <w:pPr>
        <w:spacing w:after="80" w:before="0"/>
        <w:jc w:val="center"/>
      </w:pPr>
      <w:r>
        <w:rPr>
          <w:rFonts w:ascii="Arial" w:cs="Arial" w:eastAsia="Arial" w:hAnsi="Arial"/>
          <w:b/>
          <w:bCs/>
          <w:color w:val="1F3864"/>
          <w:sz w:val="48"/>
          <w:szCs w:val="48"/>
        </w:rPr>
        <w:t xml:space="preserve">MULTIPLE MYELOMA</w:t>
      </w:r>
    </w:p>
    <w:p>
      <w:pPr>
        <w:spacing w:after="200" w:before="0"/>
        <w:jc w:val="center"/>
      </w:pPr>
      <w:r>
        <w:rPr>
          <w:rFonts w:ascii="Arial" w:cs="Arial" w:eastAsia="Arial" w:hAnsi="Arial"/>
          <w:color w:val="2E5F8C"/>
          <w:sz w:val="36"/>
          <w:szCs w:val="36"/>
        </w:rPr>
        <w:t xml:space="preserve">Treatment Analysis &amp; Recommendations</w:t>
      </w:r>
    </w:p>
    <w:p>
      <w:pPr>
        <w:pBdr>
          <w:bottom w:val="single" w:color="C9A84C" w:sz="8" w:space="1"/>
        </w:pBdr>
        <w:spacing w:after="100"/>
      </w:pPr>
    </w:p>
    <w:p>
      <w:pPr>
        <w:spacing w:after="0" w:before="120"/>
      </w:pPr>
    </w:p>
    <w:p>
      <w:pPr>
        <w:spacing w:after="60" w:before="60"/>
        <w:jc w:val="center"/>
      </w:pPr>
      <w:r>
        <w:rPr>
          <w:rFonts w:ascii="Arial" w:cs="Arial" w:eastAsia="Arial" w:hAnsi="Arial"/>
          <w:b/>
          <w:bCs/>
          <w:color w:val="1F3864"/>
          <w:sz w:val="26"/>
          <w:szCs w:val="26"/>
        </w:rPr>
        <w:t xml:space="preserve">Patient: Vipan Kumar Garg</w:t>
      </w:r>
    </w:p>
    <w:p>
      <w:pPr>
        <w:spacing w:after="60" w:before="60"/>
        <w:jc w:val="center"/>
      </w:pPr>
      <w:r>
        <w:rPr>
          <w:rFonts w:ascii="Arial" w:cs="Arial" w:eastAsia="Arial" w:hAnsi="Arial"/>
          <w:color w:val="2E5F8C"/>
          <w:sz w:val="20"/>
          <w:szCs w:val="20"/>
        </w:rPr>
        <w:t xml:space="preserve">Diagnosis: IgG Kappa Multiple Myeloma (June 2022)  |  Current Status: Relapsed / Persistent Disease</w:t>
      </w:r>
    </w:p>
    <w:p>
      <w:pPr>
        <w:spacing w:after="60" w:before="60"/>
        <w:jc w:val="center"/>
      </w:pPr>
      <w:r>
        <w:rPr>
          <w:rFonts w:ascii="Arial" w:cs="Arial" w:eastAsia="Arial" w:hAnsi="Arial"/>
          <w:color w:val="777777"/>
          <w:sz w:val="19"/>
          <w:szCs w:val="19"/>
        </w:rPr>
        <w:t xml:space="preserve">Prepared: April 2026  |  Based on Records through August 2025</w:t>
      </w:r>
    </w:p>
    <w:p>
      <w:pPr>
        <w:spacing w:after="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8"/>
              <w:left w:val="single" w:color="C9A84C" w:sz="24"/>
              <w:bottom w:val="single" w:color="C9A84C" w:sz="8"/>
              <w:right w:val="single" w:color="C9A84C" w:sz="2"/>
            </w:tcBorders>
            <w:shd w:fill="FFF5F5" w:val="clear"/>
            <w:tcMar>
              <w:top w:type="dxa" w:w="120"/>
              <w:left w:type="dxa" w:w="200"/>
              <w:bottom w:type="dxa" w:w="120"/>
              <w:right w:type="dxa" w:w="120"/>
            </w:tcMar>
          </w:tcPr>
          <w:p>
            <w:r>
              <w:rPr>
                <w:rFonts w:ascii="Arial" w:cs="Arial" w:eastAsia="Arial" w:hAnsi="Arial"/>
                <w:b/>
                <w:bCs/>
                <w:color w:val="C9A84C"/>
                <w:sz w:val="19"/>
                <w:szCs w:val="19"/>
              </w:rPr>
              <w:t xml:space="preserve">IMPORTANT: This report is prepared for informational and discussion purposes only. It does not constitute medical advice and must be reviewed with a qualified haematologist/oncologist before any treatment decisions are made.</w:t>
            </w:r>
          </w:p>
        </w:tc>
      </w:tr>
    </w:tbl>
    <w:p>
      <w:r>
        <w:br w:type="page"/>
      </w:r>
    </w:p>
    <w:p>
      <w:pPr>
        <w:pStyle w:val="Heading1"/>
        <w:spacing w:after="100" w:before="280"/>
      </w:pPr>
      <w:r>
        <w:rPr>
          <w:rFonts w:ascii="Arial" w:cs="Arial" w:eastAsia="Arial" w:hAnsi="Arial"/>
          <w:b/>
          <w:bCs/>
          <w:color w:val="1F3864"/>
          <w:sz w:val="32"/>
          <w:szCs w:val="32"/>
        </w:rPr>
        <w:t xml:space="preserve">1. Executive Summary</w:t>
      </w:r>
    </w:p>
    <w:p>
      <w:pPr>
        <w:pBdr>
          <w:bottom w:val="single" w:color="2E5F8C" w:sz="8" w:space="1"/>
        </w:pBdr>
        <w:spacing w:after="100"/>
      </w:pPr>
    </w:p>
    <w:p>
      <w:pPr>
        <w:spacing w:after="80" w:before="60"/>
      </w:pPr>
      <w:r>
        <w:rPr>
          <w:rFonts w:ascii="Arial" w:cs="Arial" w:eastAsia="Arial" w:hAnsi="Arial"/>
          <w:sz w:val="20"/>
          <w:szCs w:val="20"/>
        </w:rPr>
        <w:t>Vipan Kumar Garg is a patient with relapsed IgG kappa multiple myeloma who achieved a deep MRD-negative complete remission with first-line DaraVCD-based therapy in 2022 but relapsed biochemically in December 2023, with bone marrow and PET/CT confirmation in February 2024. As of August 2025, he carries persistent low-level monoclonal IgG kappa disease alongside Chronic Kidney Disease Stage G3b (eGFR ~43 mL/min). CAR-T cell therapy was recommended in March 2024; after Drive review, no record confirms administration. The now-documented treatment bridge is carfilzomib + daratumumab + zoledronic acid + pomalidomide through 04 Sep 2024, then maintenance daratumumab + pomalidomide from Jan 2025.</w:t>
      </w:r>
    </w:p>
    <w:p>
      <w:pPr>
        <w:spacing w:after="80" w:before="60"/>
      </w:pPr>
      <w:r>
        <w:rPr>
          <w:rFonts w:ascii="Arial" w:cs="Arial" w:eastAsia="Arial" w:hAnsi="Arial"/>
          <w:sz w:val="20"/>
          <w:szCs w:val="20"/>
        </w:rPr>
        <w:t xml:space="preserve">The central clinical challenge is navigating aggressive salvage therapy for a patient with dual constraints: (1) prior exposure to daratumumab and bortezomib, and (2) moderate renal impairment that narrows dosing latitude for certain agents. His cytogenetic profile — 1q21 gain combined with 1p32 (CDKN2C) deletion — is now recognised as a high-risk combination that argues strongly for the most potent available treatment strategy.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6"/>
              <w:left w:val="single" w:color="1F3864" w:sz="6"/>
              <w:bottom w:val="single" w:color="1F3864" w:sz="1"/>
              <w:right w:val="single" w:color="1F3864" w:sz="1"/>
            </w:tcBorders>
            <w:shd w:fill="D9E8F5" w:val="clear"/>
            <w:tcMar>
              <w:top w:type="dxa" w:w="120"/>
              <w:left w:type="dxa" w:w="180"/>
              <w:bottom w:type="dxa" w:w="120"/>
              <w:right w:type="dxa" w:w="120"/>
            </w:tcMar>
          </w:tcPr>
          <w:p>
            <w:pPr>
              <w:spacing w:after="40" w:before="0"/>
            </w:pPr>
            <w:r>
              <w:rPr>
                <w:rFonts w:ascii="Arial" w:cs="Arial" w:eastAsia="Arial" w:hAnsi="Arial"/>
                <w:b/>
                <w:bCs/>
                <w:color w:val="1F3864"/>
                <w:sz w:val="20"/>
                <w:szCs w:val="20"/>
              </w:rPr>
              <w:t xml:space="preserve">Bottom Line Recommendation</w:t>
            </w:r>
          </w:p>
          <w:p>
            <w:pPr>
              <w:spacing w:after="0" w:before="0"/>
            </w:pPr>
            <w:r>
              <w:rPr>
                <w:rFonts w:ascii="Arial" w:cs="Arial" w:eastAsia="Arial" w:hAnsi="Arial"/>
                <w:sz w:val="19"/>
                <w:szCs w:val="19"/>
              </w:rPr>
              <w:t xml:space="preserve">If CAR-T (cilta-cel or ide-cel) has NOT yet been administered, it remains the single highest-priority intervention: CARTITUDE-4 data show a 30-month PFS of 59.4% versus 25.7% with standard care and an ORR of 99.4%, with an OS benefit at 33.6 months. If CAR-T is not feasible or already given, the next-best options are teclistamab (BCMA×CD3 bispecific) or talquetamab (GPRC5D×CD3 bispecific), both with strong data in daratumumab- and bortezomib-exposed disease and a manageable safety profile in CKD G3b patients.</w:t>
            </w:r>
          </w:p>
        </w:tc>
      </w:tr>
    </w:tbl>
    <w:p>
      <w:r>
        <w:br w:type="page"/>
      </w:r>
    </w:p>
    <w:p>
      <w:pPr>
        <w:pStyle w:val="Heading1"/>
        <w:spacing w:after="100" w:before="280"/>
      </w:pPr>
      <w:r>
        <w:rPr>
          <w:rFonts w:ascii="Arial" w:cs="Arial" w:eastAsia="Arial" w:hAnsi="Arial"/>
          <w:b/>
          <w:bCs/>
          <w:color w:val="1F3864"/>
          <w:sz w:val="32"/>
          <w:szCs w:val="32"/>
        </w:rPr>
        <w:t xml:space="preserve">2. Patient Clinical Synopsis</w:t>
      </w:r>
    </w:p>
    <w:p>
      <w:pPr>
        <w:pBdr>
          <w:bottom w:val="single" w:color="2E5F8C" w:sz="8" w:space="1"/>
        </w:pBdr>
        <w:spacing w:after="100"/>
      </w:pPr>
    </w:p>
    <w:p>
      <w:pPr>
        <w:pStyle w:val="Heading2"/>
        <w:spacing w:after="80" w:before="200"/>
      </w:pPr>
      <w:r>
        <w:rPr>
          <w:rFonts w:ascii="Arial" w:cs="Arial" w:eastAsia="Arial" w:hAnsi="Arial"/>
          <w:b/>
          <w:bCs/>
          <w:color w:val="2E5F8C"/>
          <w:sz w:val="26"/>
          <w:szCs w:val="26"/>
        </w:rPr>
        <w:t xml:space="preserve">2.1 Diagnosis &amp; Disease Biology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80"/>
            </w:tcMar>
          </w:tcPr>
          <w:p>
            <w:r>
              <w:rPr>
                <w:rFonts w:ascii="Arial" w:cs="Arial" w:eastAsia="Arial" w:hAnsi="Arial"/>
                <w:b/>
                <w:bCs/>
                <w:color w:val="1F3864"/>
                <w:sz w:val="19"/>
                <w:szCs w:val="19"/>
              </w:rPr>
              <w:t xml:space="preserve">Myeloma subtype</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80"/>
            </w:tcMar>
          </w:tcPr>
          <w:p>
            <w:r>
              <w:rPr>
                <w:rFonts w:ascii="Arial" w:cs="Arial" w:eastAsia="Arial" w:hAnsi="Arial"/>
                <w:sz w:val="19"/>
                <w:szCs w:val="19"/>
              </w:rPr>
              <w:t xml:space="preserve">IgG Kappa Multiple Myeloma</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80"/>
            </w:tcMar>
          </w:tcPr>
          <w:p>
            <w:r>
              <w:rPr>
                <w:rFonts w:ascii="Arial" w:cs="Arial" w:eastAsia="Arial" w:hAnsi="Arial"/>
                <w:b/>
                <w:bCs/>
                <w:color w:val="1F3864"/>
                <w:sz w:val="19"/>
                <w:szCs w:val="19"/>
              </w:rPr>
              <w:t xml:space="preserve">Diagnosis date</w:t>
            </w:r>
          </w:p>
        </w:tc>
        <w:tc>
          <w:tcPr>
            <w:tcW w:type="dxa" w:w="6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80"/>
            </w:tcMar>
          </w:tcPr>
          <w:p>
            <w:r>
              <w:rPr>
                <w:rFonts w:ascii="Arial" w:cs="Arial" w:eastAsia="Arial" w:hAnsi="Arial"/>
                <w:sz w:val="19"/>
                <w:szCs w:val="19"/>
              </w:rPr>
              <w:t xml:space="preserve">June 2022</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80"/>
            </w:tcMar>
          </w:tcPr>
          <w:p>
            <w:r>
              <w:rPr>
                <w:rFonts w:ascii="Arial" w:cs="Arial" w:eastAsia="Arial" w:hAnsi="Arial"/>
                <w:b/>
                <w:bCs/>
                <w:color w:val="1F3864"/>
                <w:sz w:val="19"/>
                <w:szCs w:val="19"/>
              </w:rPr>
              <w:t xml:space="preserve">Staging</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80"/>
            </w:tcMar>
          </w:tcPr>
          <w:p>
            <w:r>
              <w:rPr>
                <w:rFonts w:ascii="Arial" w:cs="Arial" w:eastAsia="Arial" w:hAnsi="Arial"/>
                <w:sz w:val="19"/>
                <w:szCs w:val="19"/>
              </w:rPr>
              <w:t xml:space="preserve">ISS II / R-ISS II (B2M 4.806 µg/mL at diagnosis, no del17p)</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80"/>
            </w:tcMar>
          </w:tcPr>
          <w:p>
            <w:r>
              <w:rPr>
                <w:rFonts w:ascii="Arial" w:cs="Arial" w:eastAsia="Arial" w:hAnsi="Arial"/>
                <w:b/>
                <w:bCs/>
                <w:color w:val="1F3864"/>
                <w:sz w:val="19"/>
                <w:szCs w:val="19"/>
              </w:rPr>
              <w:t xml:space="preserve">Bone marrow at dx</w:t>
            </w:r>
          </w:p>
        </w:tc>
        <w:tc>
          <w:tcPr>
            <w:tcW w:type="dxa" w:w="6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80"/>
            </w:tcMar>
          </w:tcPr>
          <w:p>
            <w:r>
              <w:rPr>
                <w:rFonts w:ascii="Arial" w:cs="Arial" w:eastAsia="Arial" w:hAnsi="Arial"/>
                <w:sz w:val="19"/>
                <w:szCs w:val="19"/>
              </w:rPr>
              <w:t xml:space="preserve">~15% plasma cells; hypocellular marrow (~15–20% cellularity)</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80"/>
            </w:tcMar>
          </w:tcPr>
          <w:p>
            <w:r>
              <w:rPr>
                <w:rFonts w:ascii="Arial" w:cs="Arial" w:eastAsia="Arial" w:hAnsi="Arial"/>
                <w:b/>
                <w:bCs/>
                <w:color w:val="1F3864"/>
                <w:sz w:val="19"/>
                <w:szCs w:val="19"/>
              </w:rPr>
              <w:t xml:space="preserve">M-spike at diagnosis</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80"/>
            </w:tcMar>
          </w:tcPr>
          <w:p>
            <w:r>
              <w:rPr>
                <w:rFonts w:ascii="Arial" w:cs="Arial" w:eastAsia="Arial" w:hAnsi="Arial"/>
                <w:sz w:val="19"/>
                <w:szCs w:val="19"/>
              </w:rPr>
              <w:t xml:space="preserve">2.10 g/dL; Kappa FLC 857.95 mg/L; Ratio 48.15</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80"/>
            </w:tcMar>
          </w:tcPr>
          <w:p>
            <w:r>
              <w:rPr>
                <w:rFonts w:ascii="Arial" w:cs="Arial" w:eastAsia="Arial" w:hAnsi="Arial"/>
                <w:b/>
                <w:bCs/>
                <w:color w:val="1F3864"/>
                <w:sz w:val="19"/>
                <w:szCs w:val="19"/>
              </w:rPr>
              <w:t xml:space="preserve">Skeletal disease</w:t>
            </w:r>
          </w:p>
        </w:tc>
        <w:tc>
          <w:tcPr>
            <w:tcW w:type="dxa" w:w="6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80"/>
            </w:tcMar>
          </w:tcPr>
          <w:p>
            <w:r>
              <w:rPr>
                <w:rFonts w:ascii="Arial" w:cs="Arial" w:eastAsia="Arial" w:hAnsi="Arial"/>
                <w:sz w:val="19"/>
                <w:szCs w:val="19"/>
              </w:rPr>
              <w:t xml:space="preserve">Spinal + rib lesions; D1 and D6 vertebral compression/collapse</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80"/>
            </w:tcMar>
          </w:tcPr>
          <w:p>
            <w:r>
              <w:rPr>
                <w:rFonts w:ascii="Arial" w:cs="Arial" w:eastAsia="Arial" w:hAnsi="Arial"/>
                <w:b/>
                <w:bCs/>
                <w:color w:val="1F3864"/>
                <w:sz w:val="19"/>
                <w:szCs w:val="19"/>
              </w:rPr>
              <w:t xml:space="preserve">FISH cytogenetics</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80"/>
            </w:tcMar>
          </w:tcPr>
          <w:p>
            <w:r>
              <w:rPr>
                <w:rFonts w:ascii="Arial" w:cs="Arial" w:eastAsia="Arial" w:hAnsi="Arial"/>
                <w:sz w:val="19"/>
                <w:szCs w:val="19"/>
              </w:rPr>
              <w:t xml:space="preserve">+1q21 (CKS1B extra copies) + del(1p32) (CDKN2C) in ~10% cells. No del(17p)/TP53, no standard high-risk IGH translocations.</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80"/>
            </w:tcMar>
          </w:tcPr>
          <w:p>
            <w:r>
              <w:rPr>
                <w:rFonts w:ascii="Arial" w:cs="Arial" w:eastAsia="Arial" w:hAnsi="Arial"/>
                <w:b/>
                <w:bCs/>
                <w:color w:val="1F3864"/>
                <w:sz w:val="19"/>
                <w:szCs w:val="19"/>
              </w:rPr>
              <w:t xml:space="preserve">Family history</w:t>
            </w:r>
          </w:p>
        </w:tc>
        <w:tc>
          <w:tcPr>
            <w:tcW w:type="dxa" w:w="6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80"/>
            </w:tcMar>
          </w:tcPr>
          <w:p>
            <w:r>
              <w:rPr>
                <w:rFonts w:ascii="Arial" w:cs="Arial" w:eastAsia="Arial" w:hAnsi="Arial"/>
                <w:sz w:val="19"/>
                <w:szCs w:val="19"/>
              </w:rPr>
              <w:t xml:space="preserve">Mother AND maternal uncle both had multiple myeloma — strongly familial presentation</w:t>
            </w:r>
          </w:p>
        </w:tc>
      </w:tr>
    </w:tbl>
    <w:p>
      <w:pPr>
        <w:spacing w:after="0" w:before="120"/>
      </w:pPr>
    </w:p>
    <w:p>
      <w:pPr>
        <w:pStyle w:val="Heading2"/>
        <w:spacing w:after="80" w:before="200"/>
      </w:pPr>
      <w:r>
        <w:rPr>
          <w:rFonts w:ascii="Arial" w:cs="Arial" w:eastAsia="Arial" w:hAnsi="Arial"/>
          <w:b/>
          <w:bCs/>
          <w:color w:val="2E5F8C"/>
          <w:sz w:val="26"/>
          <w:szCs w:val="26"/>
        </w:rPr>
        <w:t xml:space="preserve">2.2 Treatment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80"/>
            </w:tcMar>
          </w:tcPr>
          <w:p>
            <w:r>
              <w:rPr>
                <w:rFonts w:ascii="Arial" w:cs="Arial" w:eastAsia="Arial" w:hAnsi="Arial"/>
                <w:b/>
                <w:bCs/>
                <w:color w:val="FFFFFF"/>
                <w:sz w:val="18"/>
                <w:szCs w:val="18"/>
              </w:rPr>
              <w:t xml:space="preserve">Period</w:t>
            </w:r>
          </w:p>
        </w:tc>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80"/>
            </w:tcMar>
          </w:tcPr>
          <w:p>
            <w:r>
              <w:rPr>
                <w:rFonts w:ascii="Arial" w:cs="Arial" w:eastAsia="Arial" w:hAnsi="Arial"/>
                <w:b/>
                <w:bCs/>
                <w:color w:val="FFFFFF"/>
                <w:sz w:val="18"/>
                <w:szCs w:val="18"/>
              </w:rPr>
              <w:t xml:space="preserve">Regimen</w:t>
            </w:r>
          </w:p>
        </w:tc>
        <w:tc>
          <w:tcPr>
            <w:tcW w:type="dxa" w:w="4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80"/>
            </w:tcMar>
          </w:tcPr>
          <w:p>
            <w:r>
              <w:rPr>
                <w:rFonts w:ascii="Arial" w:cs="Arial" w:eastAsia="Arial" w:hAnsi="Arial"/>
                <w:b/>
                <w:bCs/>
                <w:color w:val="FFFFFF"/>
                <w:sz w:val="18"/>
                <w:szCs w:val="18"/>
              </w:rPr>
              <w:t xml:space="preserve">Outcome</w:t>
            </w:r>
          </w:p>
        </w:tc>
      </w:tr>
      <w:tr>
        <w:tc>
          <w:tcPr>
            <w:tcW w:type="dxa" w:w="200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Jun–Oct 2022</w:t>
            </w:r>
          </w:p>
        </w:tc>
        <w:tc>
          <w:tcPr>
            <w:tcW w:type="dxa" w:w="300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DaraVCD (Daratumumab + Bortezomib + Cyclophosphamide + Dex). Lenalidomide stopped due to thrombocytopenia.</w:t>
            </w:r>
          </w:p>
        </w:tc>
        <w:tc>
          <w:tcPr>
            <w:tcW w:type="dxa" w:w="436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b/>
                <w:bCs/>
                <w:color w:val="1A7A4A"/>
                <w:sz w:val="18"/>
                <w:szCs w:val="18"/>
              </w:rPr>
              <w:t xml:space="preserve">Rapid deep response: Kappa FLC 858→17 mg/L; MRD NIL Dec 2022. Transplant cancelled — complete remission achieved.</w:t>
            </w:r>
          </w:p>
        </w:tc>
      </w:tr>
      <w:tr>
        <w:tc>
          <w:tcPr>
            <w:tcW w:type="dxa" w:w="200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Jan–Aug 2023</w:t>
            </w:r>
          </w:p>
        </w:tc>
        <w:tc>
          <w:tcPr>
            <w:tcW w:type="dxa" w:w="300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Maintenance: Bortezomib 1.25 mg SC biweekly + Zoledronic acid Q3 months</w:t>
            </w:r>
          </w:p>
        </w:tc>
        <w:tc>
          <w:tcPr>
            <w:tcW w:type="dxa" w:w="436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b/>
                <w:bCs/>
                <w:color w:val="1A7A4A"/>
                <w:sz w:val="18"/>
                <w:szCs w:val="18"/>
              </w:rPr>
              <w:t xml:space="preserve">MRD remained NIL in Aug 2023. Patient able to travel internationally.</w:t>
            </w:r>
          </w:p>
        </w:tc>
      </w:tr>
      <w:tr>
        <w:tc>
          <w:tcPr>
            <w:tcW w:type="dxa" w:w="200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Dec 2023 – Feb 2024</w:t>
            </w:r>
          </w:p>
        </w:tc>
        <w:tc>
          <w:tcPr>
            <w:tcW w:type="dxa" w:w="300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b/>
                <w:bCs/>
                <w:color w:val="C0392B"/>
                <w:sz w:val="18"/>
                <w:szCs w:val="18"/>
              </w:rPr>
              <w:t xml:space="preserve">BIOCHEMICAL &amp; STRUCTURAL RELAPSE</w:t>
            </w:r>
          </w:p>
        </w:tc>
        <w:tc>
          <w:tcPr>
            <w:tcW w:type="dxa" w:w="436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b/>
                <w:bCs/>
                <w:color w:val="C0392B"/>
                <w:sz w:val="18"/>
                <w:szCs w:val="18"/>
              </w:rPr>
              <w:t xml:space="preserve">Kappa FLC 92.94 mg/L; BM MRD+ 0.1%; PET/CT showed active rib fractures and D6 vertebral collapse.</w:t>
            </w:r>
          </w:p>
        </w:tc>
      </w:tr>
      <w:tr>
        <w:tc>
          <w:tcPr>
            <w:tcW w:type="dxa" w:w="200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Mar 2024</w:t>
            </w:r>
          </w:p>
        </w:tc>
        <w:tc>
          <w:tcPr>
            <w:tcW w:type="dxa" w:w="300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b/>
                <w:bCs/>
                <w:color w:val="C9A84C"/>
                <w:sz w:val="18"/>
                <w:szCs w:val="18"/>
              </w:rPr>
              <w:t xml:space="preserve">CAR-T recommended (not ASCT eligible)</w:t>
            </w:r>
          </w:p>
        </w:tc>
        <w:tc>
          <w:tcPr>
            <w:tcW w:type="dxa" w:w="436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No reviewed record confirms CAR-T administration. Later records instead document the carfilzomib/daratumumab/pomalidomide salvage regimen and Jan 2025 maintenance.</w:t>
            </w:r>
          </w:p>
        </w:tc>
      </w:tr>
      <w:tr>
        <w:tc>
          <w:tcPr>
            <w:tcW w:type="dxa" w:w="200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Sep 2024</w:t>
            </w:r>
          </w:p>
        </w:tc>
        <w:tc>
          <w:tcPr>
            <w:tcW w:type="dxa" w:w="300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b/>
                <w:bCs/>
                <w:color w:val="C0392B"/>
                <w:sz w:val="18"/>
                <w:szCs w:val="18"/>
              </w:rPr>
              <w:t xml:space="preserve">Major hospitalization – Medanta</w:t>
            </w:r>
          </w:p>
        </w:tc>
        <w:tc>
          <w:tcPr>
            <w:tcW w:type="dxa" w:w="436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AKI (Creatinine peaked 6.3 mg/dL), severe anemia (Hb 7.6–8.0), thrombocytopenia, bilateral pleural effusions.</w:t>
            </w:r>
          </w:p>
        </w:tc>
      </w:tr>
      <w:tr>
        <w:tc>
          <w:tcPr>
            <w:tcW w:type="dxa" w:w="200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Aug 2025 (latest)</w:t>
            </w:r>
          </w:p>
        </w:tc>
        <w:tc>
          <w:tcPr>
            <w:tcW w:type="dxa" w:w="300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Persistent low-level disease + CKD G3b</w:t>
            </w:r>
          </w:p>
        </w:tc>
        <w:tc>
          <w:tcPr>
            <w:tcW w:type="dxa" w:w="436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Kappa FLC 38.71; Ratio 2.335; M-spike ~0.1 g/dL; B2M 10,244 ng/mL; eGFR 43; Hb 11.1; Plts 141.</w:t>
            </w:r>
          </w:p>
        </w:tc>
      </w:tr>
    </w:tbl>
    <w:p>
      <w:pPr>
        <w:spacing w:after="0" w:before="120"/>
      </w:pPr>
    </w:p>
    <w:p>
      <w:pPr>
        <w:pStyle w:val="Heading2"/>
        <w:spacing w:after="80" w:before="200"/>
      </w:pPr>
      <w:r>
        <w:rPr>
          <w:rFonts w:ascii="Arial" w:cs="Arial" w:eastAsia="Arial" w:hAnsi="Arial"/>
          <w:b/>
          <w:bCs/>
          <w:color w:val="2E5F8C"/>
          <w:sz w:val="26"/>
          <w:szCs w:val="26"/>
        </w:rPr>
        <w:t xml:space="preserve">2.3 Current Laboratory Markers (August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80"/>
            </w:tcMar>
            <w:vAlign w:val="center"/>
          </w:tcPr>
          <w:p>
            <w:r>
              <w:rPr>
                <w:rFonts w:ascii="Arial" w:cs="Arial" w:eastAsia="Arial" w:hAnsi="Arial"/>
                <w:b/>
                <w:bCs/>
                <w:color w:val="FFFFFF"/>
                <w:sz w:val="18"/>
                <w:szCs w:val="18"/>
              </w:rPr>
              <w:t xml:space="preserve">Parameter</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80"/>
            </w:tcMar>
            <w:vAlign w:val="center"/>
          </w:tcPr>
          <w:p>
            <w:r>
              <w:rPr>
                <w:rFonts w:ascii="Arial" w:cs="Arial" w:eastAsia="Arial" w:hAnsi="Arial"/>
                <w:b/>
                <w:bCs/>
                <w:color w:val="FFFFFF"/>
                <w:sz w:val="18"/>
                <w:szCs w:val="18"/>
              </w:rPr>
              <w:t xml:space="preserve">Value</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80"/>
            </w:tcMar>
            <w:vAlign w:val="center"/>
          </w:tcPr>
          <w:p>
            <w:r>
              <w:rPr>
                <w:rFonts w:ascii="Arial" w:cs="Arial" w:eastAsia="Arial" w:hAnsi="Arial"/>
                <w:b/>
                <w:bCs/>
                <w:color w:val="FFFFFF"/>
                <w:sz w:val="18"/>
                <w:szCs w:val="18"/>
              </w:rPr>
              <w:t xml:space="preserve">Reference Range</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80"/>
            </w:tcMar>
            <w:vAlign w:val="center"/>
          </w:tcPr>
          <w:p>
            <w:r>
              <w:rPr>
                <w:rFonts w:ascii="Arial" w:cs="Arial" w:eastAsia="Arial" w:hAnsi="Arial"/>
                <w:b/>
                <w:bCs/>
                <w:color w:val="FFFFFF"/>
                <w:sz w:val="18"/>
                <w:szCs w:val="18"/>
              </w:rPr>
              <w:t xml:space="preserve">Clinical Significance</w:t>
            </w:r>
          </w:p>
        </w:tc>
      </w:tr>
      <w:tr>
        <w:tc>
          <w:tcPr>
            <w:tcW w:type="dxa" w:w="234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Kappa FLC</w:t>
            </w:r>
          </w:p>
        </w:tc>
        <w:tc>
          <w:tcPr>
            <w:tcW w:type="dxa" w:w="234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38.71 mg/L</w:t>
            </w:r>
          </w:p>
        </w:tc>
        <w:tc>
          <w:tcPr>
            <w:tcW w:type="dxa" w:w="234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3.3–19.4 mg/L</w:t>
            </w:r>
          </w:p>
        </w:tc>
        <w:tc>
          <w:tcPr>
            <w:tcW w:type="dxa" w:w="234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Elevated — active monoclonal secretion</w:t>
            </w:r>
          </w:p>
        </w:tc>
      </w:tr>
      <w:tr>
        <w:tc>
          <w:tcPr>
            <w:tcW w:type="dxa" w:w="234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Lambda FLC</w:t>
            </w:r>
          </w:p>
        </w:tc>
        <w:tc>
          <w:tcPr>
            <w:tcW w:type="dxa" w:w="234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16.58 mg/L</w:t>
            </w:r>
          </w:p>
        </w:tc>
        <w:tc>
          <w:tcPr>
            <w:tcW w:type="dxa" w:w="234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5.7–26.3 mg/L</w:t>
            </w:r>
          </w:p>
        </w:tc>
        <w:tc>
          <w:tcPr>
            <w:tcW w:type="dxa" w:w="234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Normal</w:t>
            </w:r>
          </w:p>
        </w:tc>
      </w:tr>
      <w:tr>
        <w:tc>
          <w:tcPr>
            <w:tcW w:type="dxa" w:w="234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Kappa/Lambda Ratio</w:t>
            </w:r>
          </w:p>
        </w:tc>
        <w:tc>
          <w:tcPr>
            <w:tcW w:type="dxa" w:w="234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2.335</w:t>
            </w:r>
          </w:p>
        </w:tc>
        <w:tc>
          <w:tcPr>
            <w:tcW w:type="dxa" w:w="234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0.26–1.65</w:t>
            </w:r>
          </w:p>
        </w:tc>
        <w:tc>
          <w:tcPr>
            <w:tcW w:type="dxa" w:w="234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Abnormal — persistent clonal activity</w:t>
            </w:r>
          </w:p>
        </w:tc>
      </w:tr>
      <w:tr>
        <w:tc>
          <w:tcPr>
            <w:tcW w:type="dxa" w:w="234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M-spike (SPEP)</w:t>
            </w:r>
          </w:p>
        </w:tc>
        <w:tc>
          <w:tcPr>
            <w:tcW w:type="dxa" w:w="234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~0.10 g/dL</w:t>
            </w:r>
          </w:p>
        </w:tc>
        <w:tc>
          <w:tcPr>
            <w:tcW w:type="dxa" w:w="234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None</w:t>
            </w:r>
          </w:p>
        </w:tc>
        <w:tc>
          <w:tcPr>
            <w:tcW w:type="dxa" w:w="234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Persistent IgG kappa band</w:t>
            </w:r>
          </w:p>
        </w:tc>
      </w:tr>
      <w:tr>
        <w:tc>
          <w:tcPr>
            <w:tcW w:type="dxa" w:w="234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Beta-2 Microglobulin</w:t>
            </w:r>
          </w:p>
        </w:tc>
        <w:tc>
          <w:tcPr>
            <w:tcW w:type="dxa" w:w="234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10,244 ng/mL</w:t>
            </w:r>
          </w:p>
        </w:tc>
        <w:tc>
          <w:tcPr>
            <w:tcW w:type="dxa" w:w="234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&lt;2,000 ng/mL</w:t>
            </w:r>
          </w:p>
        </w:tc>
        <w:tc>
          <w:tcPr>
            <w:tcW w:type="dxa" w:w="234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Elevated (partly CKD-driven)</w:t>
            </w:r>
          </w:p>
        </w:tc>
      </w:tr>
      <w:tr>
        <w:tc>
          <w:tcPr>
            <w:tcW w:type="dxa" w:w="234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Creatinine</w:t>
            </w:r>
          </w:p>
        </w:tc>
        <w:tc>
          <w:tcPr>
            <w:tcW w:type="dxa" w:w="234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1.71 mg/dL</w:t>
            </w:r>
          </w:p>
        </w:tc>
        <w:tc>
          <w:tcPr>
            <w:tcW w:type="dxa" w:w="234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0.6–1.1 mg/dL</w:t>
            </w:r>
          </w:p>
        </w:tc>
        <w:tc>
          <w:tcPr>
            <w:tcW w:type="dxa" w:w="234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CKD G3b</w:t>
            </w:r>
          </w:p>
        </w:tc>
      </w:tr>
      <w:tr>
        <w:tc>
          <w:tcPr>
            <w:tcW w:type="dxa" w:w="234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eGFR</w:t>
            </w:r>
          </w:p>
        </w:tc>
        <w:tc>
          <w:tcPr>
            <w:tcW w:type="dxa" w:w="234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43 mL/min/1.73m²</w:t>
            </w:r>
          </w:p>
        </w:tc>
        <w:tc>
          <w:tcPr>
            <w:tcW w:type="dxa" w:w="234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&gt;60</w:t>
            </w:r>
          </w:p>
        </w:tc>
        <w:tc>
          <w:tcPr>
            <w:tcW w:type="dxa" w:w="234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CKD Stage G3b — moderate impairment</w:t>
            </w:r>
          </w:p>
        </w:tc>
      </w:tr>
      <w:tr>
        <w:tc>
          <w:tcPr>
            <w:tcW w:type="dxa" w:w="234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Hemoglobin</w:t>
            </w:r>
          </w:p>
        </w:tc>
        <w:tc>
          <w:tcPr>
            <w:tcW w:type="dxa" w:w="234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11.10 g/dL</w:t>
            </w:r>
          </w:p>
        </w:tc>
        <w:tc>
          <w:tcPr>
            <w:tcW w:type="dxa" w:w="234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13.5–17.5 g/dL</w:t>
            </w:r>
          </w:p>
        </w:tc>
        <w:tc>
          <w:tcPr>
            <w:tcW w:type="dxa" w:w="234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Mild anemia</w:t>
            </w:r>
          </w:p>
        </w:tc>
      </w:tr>
      <w:tr>
        <w:tc>
          <w:tcPr>
            <w:tcW w:type="dxa" w:w="234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Platelets</w:t>
            </w:r>
          </w:p>
        </w:tc>
        <w:tc>
          <w:tcPr>
            <w:tcW w:type="dxa" w:w="234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141 × 10³/µL</w:t>
            </w:r>
          </w:p>
        </w:tc>
        <w:tc>
          <w:tcPr>
            <w:tcW w:type="dxa" w:w="234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150–400 × 10³/µL</w:t>
            </w:r>
          </w:p>
        </w:tc>
        <w:tc>
          <w:tcPr>
            <w:tcW w:type="dxa" w:w="234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Low-normal / mild thrombocytopenia</w:t>
            </w:r>
          </w:p>
        </w:tc>
      </w:tr>
      <w:tr>
        <w:tc>
          <w:tcPr>
            <w:tcW w:type="dxa" w:w="234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WBC</w:t>
            </w:r>
          </w:p>
        </w:tc>
        <w:tc>
          <w:tcPr>
            <w:tcW w:type="dxa" w:w="234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3.50 × 10³/µL</w:t>
            </w:r>
          </w:p>
        </w:tc>
        <w:tc>
          <w:tcPr>
            <w:tcW w:type="dxa" w:w="234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4.0–11.0 × 10³/µL</w:t>
            </w:r>
          </w:p>
        </w:tc>
        <w:tc>
          <w:tcPr>
            <w:tcW w:type="dxa" w:w="234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Mild leukopenia</w:t>
            </w:r>
          </w:p>
        </w:tc>
      </w:tr>
    </w:tbl>
    <w:p>
      <w:r>
        <w:br w:type="page"/>
      </w:r>
    </w:p>
    <w:p>
      <w:pPr>
        <w:pStyle w:val="Heading1"/>
        <w:spacing w:after="100" w:before="280"/>
      </w:pPr>
      <w:r>
        <w:rPr>
          <w:rFonts w:ascii="Arial" w:cs="Arial" w:eastAsia="Arial" w:hAnsi="Arial"/>
          <w:b/>
          <w:bCs/>
          <w:color w:val="1F3864"/>
          <w:sz w:val="32"/>
          <w:szCs w:val="32"/>
        </w:rPr>
        <w:t xml:space="preserve">3. Disease Biology &amp; Risk Stratification</w:t>
      </w:r>
    </w:p>
    <w:p>
      <w:pPr>
        <w:pBdr>
          <w:bottom w:val="single" w:color="2E5F8C" w:sz="8" w:space="1"/>
        </w:pBdr>
        <w:spacing w:after="100"/>
      </w:pPr>
    </w:p>
    <w:p>
      <w:pPr>
        <w:pStyle w:val="Heading2"/>
        <w:spacing w:after="80" w:before="200"/>
      </w:pPr>
      <w:r>
        <w:rPr>
          <w:rFonts w:ascii="Arial" w:cs="Arial" w:eastAsia="Arial" w:hAnsi="Arial"/>
          <w:b/>
          <w:bCs/>
          <w:color w:val="2E5F8C"/>
          <w:sz w:val="26"/>
          <w:szCs w:val="26"/>
        </w:rPr>
        <w:t xml:space="preserve">3.1 Cytogenetic Risk Profile</w:t>
      </w:r>
    </w:p>
    <w:p>
      <w:pPr>
        <w:spacing w:after="80" w:before="60"/>
      </w:pPr>
      <w:r>
        <w:rPr>
          <w:rFonts w:ascii="Arial" w:cs="Arial" w:eastAsia="Arial" w:hAnsi="Arial"/>
          <w:sz w:val="20"/>
          <w:szCs w:val="20"/>
        </w:rPr>
        <w:t xml:space="preserve">Vipan's cytogenetic profile deserves careful attention. FISH at diagnosis identified two co-occurring abnormalities that together constitute a high-risk combination under current guidelines:</w:t>
      </w:r>
    </w:p>
    <w:p>
      <w:pPr>
        <w:pStyle w:val="ListParagraph"/>
        <w:numPr>
          <w:ilvl w:val="0"/>
          <w:numId w:val="2"/>
        </w:numPr>
        <w:spacing w:after="40" w:before="40"/>
      </w:pPr>
      <w:r>
        <w:rPr>
          <w:rFonts w:ascii="Arial" w:cs="Arial" w:eastAsia="Arial" w:hAnsi="Arial"/>
          <w:b w:val="false"/>
          <w:bCs w:val="false"/>
          <w:sz w:val="20"/>
          <w:szCs w:val="20"/>
        </w:rPr>
        <w:t xml:space="preserve">Gain of 1q21 (extra copies of CKS1B) detected in ~10% of cells at diagnosis. CKS1B is a cell-cycle regulator, and its amplification accelerates plasma cell proliferation. The 2024 Blood Cancer Journal systematic review across 14 randomised controlled trials confirmed that +1q21 is an independent predictor of shorter PFS and OS.</w:t>
      </w:r>
    </w:p>
    <w:p>
      <w:pPr>
        <w:pStyle w:val="ListParagraph"/>
        <w:numPr>
          <w:ilvl w:val="0"/>
          <w:numId w:val="2"/>
        </w:numPr>
        <w:spacing w:after="40" w:before="40"/>
      </w:pPr>
      <w:r>
        <w:rPr>
          <w:rFonts w:ascii="Arial" w:cs="Arial" w:eastAsia="Arial" w:hAnsi="Arial"/>
          <w:b w:val="false"/>
          <w:bCs w:val="false"/>
          <w:sz w:val="20"/>
          <w:szCs w:val="20"/>
        </w:rPr>
        <w:t xml:space="preserve">Deletion of 1p32 (CDKN2C gene). CDKN2C encodes p18INK4C, a cyclin-dependent kinase inhibitor. Its loss removes a key brake on cell cycling. A 2025 novel risk stratification framework (January 2025 publication) specifically identified biallelic del(1p32) as an independent negative prognostic marker, and the combination of +1q21 with monoallelic del(1p32) was designated as a high-risk combination.</w:t>
      </w:r>
    </w:p>
    <w:p>
      <w:pPr>
        <w:pStyle w:val="ListParagraph"/>
        <w:numPr>
          <w:ilvl w:val="0"/>
          <w:numId w:val="2"/>
        </w:numPr>
        <w:spacing w:after="40" w:before="40"/>
      </w:pPr>
      <w:r>
        <w:rPr>
          <w:rFonts w:ascii="Arial" w:cs="Arial" w:eastAsia="Arial" w:hAnsi="Arial"/>
          <w:b w:val="false"/>
          <w:bCs w:val="false"/>
          <w:sz w:val="20"/>
          <w:szCs w:val="20"/>
        </w:rPr>
        <w:t xml:space="preserve">No del(17p)/TP53 detected — this is a relative reassurance, as TP53 loss carries the single worst prognosis in myeloma and substantially limits certain treatment options.</w:t>
      </w:r>
    </w:p>
    <w:p>
      <w:pPr>
        <w:pStyle w:val="ListParagraph"/>
        <w:numPr>
          <w:ilvl w:val="0"/>
          <w:numId w:val="2"/>
        </w:numPr>
        <w:spacing w:after="40" w:before="40"/>
      </w:pPr>
      <w:r>
        <w:rPr>
          <w:rFonts w:ascii="Arial" w:cs="Arial" w:eastAsia="Arial" w:hAnsi="Arial"/>
          <w:b w:val="false"/>
          <w:bCs w:val="false"/>
          <w:sz w:val="20"/>
          <w:szCs w:val="20"/>
        </w:rPr>
        <w:t xml:space="preserve">No standard high-risk IGH translocations [t(4;14), t(14;16), t(14;20)] detected — again relatively reassuring.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6"/>
              <w:left w:val="single" w:color="1F3864" w:sz="6"/>
              <w:bottom w:val="single" w:color="1F3864" w:sz="1"/>
              <w:right w:val="single" w:color="1F3864" w:sz="1"/>
            </w:tcBorders>
            <w:shd w:fill="D9E8F5" w:val="clear"/>
            <w:tcMar>
              <w:top w:type="dxa" w:w="120"/>
              <w:left w:type="dxa" w:w="180"/>
              <w:bottom w:type="dxa" w:w="120"/>
              <w:right w:type="dxa" w:w="120"/>
            </w:tcMar>
          </w:tcPr>
          <w:p>
            <w:pPr>
              <w:spacing w:after="40" w:before="0"/>
            </w:pPr>
            <w:r>
              <w:rPr>
                <w:rFonts w:ascii="Arial" w:cs="Arial" w:eastAsia="Arial" w:hAnsi="Arial"/>
                <w:b/>
                <w:bCs/>
                <w:color w:val="1F3864"/>
                <w:sz w:val="20"/>
                <w:szCs w:val="20"/>
              </w:rPr>
              <w:t xml:space="preserve">Risk Classification: High-Intermediate</w:t>
            </w:r>
          </w:p>
          <w:p>
            <w:pPr>
              <w:spacing w:after="0" w:before="0"/>
            </w:pPr>
            <w:r>
              <w:rPr>
                <w:rFonts w:ascii="Arial" w:cs="Arial" w:eastAsia="Arial" w:hAnsi="Arial"/>
                <w:sz w:val="19"/>
                <w:szCs w:val="19"/>
              </w:rPr>
              <w:t xml:space="preserve">The co-occurrence of +1q21 and del(1p32/CDKN2C) places Vipan in the high-intermediate risk category under current IMWG cytogenetic risk classifications. This strongly argues against watchful waiting and in favour of the most potent available salvage strategy. Importantly, high-risk cytogenetic patients derive the greatest absolute benefit from deep-response therapies such as CAR-T and bispecific antibodies in recent trial analyses.</w:t>
            </w:r>
          </w:p>
        </w:tc>
      </w:tr>
    </w:tbl>
    <w:p>
      <w:pPr>
        <w:pStyle w:val="Heading2"/>
        <w:spacing w:after="80" w:before="200"/>
      </w:pPr>
      <w:r>
        <w:rPr>
          <w:rFonts w:ascii="Arial" w:cs="Arial" w:eastAsia="Arial" w:hAnsi="Arial"/>
          <w:b/>
          <w:bCs/>
          <w:color w:val="2E5F8C"/>
          <w:sz w:val="26"/>
          <w:szCs w:val="26"/>
        </w:rPr>
        <w:t xml:space="preserve">3.2 Renal Constraints Analysis</w:t>
      </w:r>
    </w:p>
    <w:p>
      <w:pPr>
        <w:spacing w:after="80" w:before="60"/>
      </w:pPr>
      <w:r>
        <w:rPr>
          <w:rFonts w:ascii="Arial" w:cs="Arial" w:eastAsia="Arial" w:hAnsi="Arial"/>
          <w:sz w:val="20"/>
          <w:szCs w:val="20"/>
        </w:rPr>
        <w:t xml:space="preserve">The September 2024 acute kidney injury event (creatinine peaking at 6.3 mg/dL) appears to have resolved partially, with the kidney now stable at CKD G3b (creatinine 1.71 mg/dL, eGFR ~43 mL/min). This is not a trivial constraint — it shapes the dosing and selection of almost every agent under consideration: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80"/>
            </w:tcMar>
            <w:vAlign w:val="center"/>
          </w:tcPr>
          <w:p>
            <w:r>
              <w:rPr>
                <w:rFonts w:ascii="Arial" w:cs="Arial" w:eastAsia="Arial" w:hAnsi="Arial"/>
                <w:b/>
                <w:bCs/>
                <w:color w:val="FFFFFF"/>
                <w:sz w:val="18"/>
                <w:szCs w:val="18"/>
              </w:rPr>
              <w:t xml:space="preserve">Drug</w:t>
            </w:r>
          </w:p>
        </w:tc>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80"/>
            </w:tcMar>
            <w:vAlign w:val="center"/>
          </w:tcPr>
          <w:p>
            <w:r>
              <w:rPr>
                <w:rFonts w:ascii="Arial" w:cs="Arial" w:eastAsia="Arial" w:hAnsi="Arial"/>
                <w:b/>
                <w:bCs/>
                <w:color w:val="FFFFFF"/>
                <w:sz w:val="18"/>
                <w:szCs w:val="18"/>
              </w:rPr>
              <w:t xml:space="preserve">Renal Adjustment Required (eGFR ~43)</w:t>
            </w:r>
          </w:p>
        </w:tc>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80"/>
            </w:tcMar>
            <w:vAlign w:val="center"/>
          </w:tcPr>
          <w:p>
            <w:r>
              <w:rPr>
                <w:rFonts w:ascii="Arial" w:cs="Arial" w:eastAsia="Arial" w:hAnsi="Arial"/>
                <w:b/>
                <w:bCs/>
                <w:color w:val="FFFFFF"/>
                <w:sz w:val="18"/>
                <w:szCs w:val="18"/>
              </w:rPr>
              <w:t xml:space="preserve">Risk Level</w:t>
            </w:r>
          </w:p>
        </w:tc>
      </w:tr>
      <w:tr>
        <w:tc>
          <w:tcPr>
            <w:tcW w:type="dxa" w:w="312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Pomalidomide</w:t>
            </w:r>
          </w:p>
        </w:tc>
        <w:tc>
          <w:tcPr>
            <w:tcW w:type="dxa" w:w="312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No dose reduction needed at eGFR ≥30; standard 4 mg/day (MM-013 trial confirmed)</w:t>
            </w:r>
          </w:p>
        </w:tc>
        <w:tc>
          <w:tcPr>
            <w:tcW w:type="dxa" w:w="312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LOW — Safe to use</w:t>
            </w:r>
          </w:p>
        </w:tc>
      </w:tr>
      <w:tr>
        <w:tc>
          <w:tcPr>
            <w:tcW w:type="dxa" w:w="312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Bortezomib (SC)</w:t>
            </w:r>
          </w:p>
        </w:tc>
        <w:tc>
          <w:tcPr>
            <w:tcW w:type="dxa" w:w="312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No adjustment needed — preferred PI in renal impairment (IMWG guidelines)</w:t>
            </w:r>
          </w:p>
        </w:tc>
        <w:tc>
          <w:tcPr>
            <w:tcW w:type="dxa" w:w="312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LOW — Safe to use</w:t>
            </w:r>
          </w:p>
        </w:tc>
      </w:tr>
      <w:tr>
        <w:tc>
          <w:tcPr>
            <w:tcW w:type="dxa" w:w="312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Daratumumab / Isatuximab</w:t>
            </w:r>
          </w:p>
        </w:tc>
        <w:tc>
          <w:tcPr>
            <w:tcW w:type="dxa" w:w="312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No dose adjustment; subcutaneous formulation preferred</w:t>
            </w:r>
          </w:p>
        </w:tc>
        <w:tc>
          <w:tcPr>
            <w:tcW w:type="dxa" w:w="312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LOW — Safe to use</w:t>
            </w:r>
          </w:p>
        </w:tc>
      </w:tr>
      <w:tr>
        <w:tc>
          <w:tcPr>
            <w:tcW w:type="dxa" w:w="312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Teclistamab (bispecific)</w:t>
            </w:r>
          </w:p>
        </w:tc>
        <w:tc>
          <w:tcPr>
            <w:tcW w:type="dxa" w:w="312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Blood Advances 2025: ORR 52% vs 56%, CRS rates comparable in RI vs normal function</w:t>
            </w:r>
          </w:p>
        </w:tc>
        <w:tc>
          <w:tcPr>
            <w:tcW w:type="dxa" w:w="312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LOW — Safe to use</w:t>
            </w:r>
          </w:p>
        </w:tc>
      </w:tr>
      <w:tr>
        <w:tc>
          <w:tcPr>
            <w:tcW w:type="dxa" w:w="312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Talquetamab (bispecific)</w:t>
            </w:r>
          </w:p>
        </w:tc>
        <w:tc>
          <w:tcPr>
            <w:tcW w:type="dxa" w:w="312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No formal dose adjustment; limited but supportive data in moderate RI</w:t>
            </w:r>
          </w:p>
        </w:tc>
        <w:tc>
          <w:tcPr>
            <w:tcW w:type="dxa" w:w="312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LOW-MODERATE</w:t>
            </w:r>
          </w:p>
        </w:tc>
      </w:tr>
      <w:tr>
        <w:tc>
          <w:tcPr>
            <w:tcW w:type="dxa" w:w="312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Carfilzomib</w:t>
            </w:r>
          </w:p>
        </w:tc>
        <w:tc>
          <w:tcPr>
            <w:tcW w:type="dxa" w:w="312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eGFR ≥40 threshold for most protocols; borderline here; risk of TMA and AKI; use cautiously</w:t>
            </w:r>
          </w:p>
        </w:tc>
        <w:tc>
          <w:tcPr>
            <w:tcW w:type="dxa" w:w="312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HIGH — Use with caution</w:t>
            </w:r>
          </w:p>
        </w:tc>
      </w:tr>
      <w:tr>
        <w:tc>
          <w:tcPr>
            <w:tcW w:type="dxa" w:w="312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Lenalidomide</w:t>
            </w:r>
          </w:p>
        </w:tc>
        <w:tc>
          <w:tcPr>
            <w:tcW w:type="dxa" w:w="312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Requires dose reduction (10 mg) for eGFR 30–60; additionally intolerant (prior thrombocytopenia)</w:t>
            </w:r>
          </w:p>
        </w:tc>
        <w:tc>
          <w:tcPr>
            <w:tcW w:type="dxa" w:w="312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AVOID — Contraindicated</w:t>
            </w:r>
          </w:p>
        </w:tc>
      </w:tr>
      <w:tr>
        <w:tc>
          <w:tcPr>
            <w:tcW w:type="dxa" w:w="312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Selinexor</w:t>
            </w:r>
          </w:p>
        </w:tc>
        <w:tc>
          <w:tcPr>
            <w:tcW w:type="dxa" w:w="312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No dose adjustment needed for renal impairment; STORM data showed renal improvement in 25–67%</w:t>
            </w:r>
          </w:p>
        </w:tc>
        <w:tc>
          <w:tcPr>
            <w:tcW w:type="dxa" w:w="312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LOW — Safe to use</w:t>
            </w:r>
          </w:p>
        </w:tc>
      </w:tr>
      <w:tr>
        <w:tc>
          <w:tcPr>
            <w:tcW w:type="dxa" w:w="312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Belantamab mafodotin</w:t>
            </w:r>
          </w:p>
        </w:tc>
        <w:tc>
          <w:tcPr>
            <w:tcW w:type="dxa" w:w="312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Post-hoc DREAMM-2 analysis: efficacy and safety consistent across renal function strata</w:t>
            </w:r>
          </w:p>
        </w:tc>
        <w:tc>
          <w:tcPr>
            <w:tcW w:type="dxa" w:w="312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LOW-MODERATE</w:t>
            </w:r>
          </w:p>
        </w:tc>
      </w:tr>
      <w:tr>
        <w:tc>
          <w:tcPr>
            <w:tcW w:type="dxa" w:w="312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Cilta-cel CAR-T</w:t>
            </w:r>
          </w:p>
        </w:tc>
        <w:tc>
          <w:tcPr>
            <w:tcW w:type="dxa" w:w="312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CARTITUDE-4 required eGFR ≥40; real-world case series show feasibility on dialysis; clinical judgment key</w:t>
            </w:r>
          </w:p>
        </w:tc>
        <w:tc>
          <w:tcPr>
            <w:tcW w:type="dxa" w:w="312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MODERATE — Feasible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24"/>
              <w:bottom w:val="single" w:color="C0392B" w:sz="8"/>
              <w:right w:val="single" w:color="C0392B" w:sz="2"/>
            </w:tcBorders>
            <w:shd w:fill="FFF5F5" w:val="clear"/>
            <w:tcMar>
              <w:top w:type="dxa" w:w="120"/>
              <w:left w:type="dxa" w:w="200"/>
              <w:bottom w:type="dxa" w:w="120"/>
              <w:right w:type="dxa" w:w="120"/>
            </w:tcMar>
          </w:tcPr>
          <w:p>
            <w:r>
              <w:rPr>
                <w:rFonts w:ascii="Arial" w:cs="Arial" w:eastAsia="Arial" w:hAnsi="Arial"/>
                <w:b/>
                <w:bCs/>
                <w:color w:val="C0392B"/>
                <w:sz w:val="19"/>
                <w:szCs w:val="19"/>
              </w:rPr>
              <w:t xml:space="preserve">HYPERKALEMIA ALERT: Potassium was 6.60 mEq/L in March 2025. This must be corrected and managed (with patiromer or sodium zirconium cyclosilicate) before initiating any new myeloma therapy to avoid life-threatening cardiac arrhythmia.</w:t>
            </w:r>
          </w:p>
        </w:tc>
      </w:tr>
    </w:tbl>
    <w:p>
      <w:pPr>
        <w:pStyle w:val="Heading2"/>
        <w:spacing w:after="80" w:before="200"/>
      </w:pPr>
      <w:r>
        <w:rPr>
          <w:rFonts w:ascii="Arial" w:cs="Arial" w:eastAsia="Arial" w:hAnsi="Arial"/>
          <w:b/>
          <w:bCs/>
          <w:color w:val="2E5F8C"/>
          <w:sz w:val="26"/>
          <w:szCs w:val="26"/>
        </w:rPr>
        <w:t xml:space="preserve">3.3 Familial Multiple Myeloma Significance</w:t>
      </w:r>
    </w:p>
    <w:p>
      <w:pPr>
        <w:spacing w:after="80" w:before="60"/>
      </w:pPr>
      <w:r>
        <w:rPr>
          <w:rFonts w:ascii="Arial" w:cs="Arial" w:eastAsia="Arial" w:hAnsi="Arial"/>
          <w:sz w:val="20"/>
          <w:szCs w:val="20"/>
        </w:rPr>
        <w:t xml:space="preserve">The family history of multiple myeloma in both Vipan's mother and maternal uncle is highly significant. Published data (Familial Multiple Myeloma, Clinical Lymphoma Myeloma Leukemia, 2025) suggest that approximately 8.8% of MM patients carry pathogenic germline variants in hereditary cancer genes — and familial cases more frequently show high-risk cytogenetic abnormalities, with 71% of germline-predisposed patients having at least one high-risk cytogenetic feature such as amp(1q). Germline testing is strongly recommended not just for Vipan's own prognosis but also to counsel his children and other family members on surveillance.</w:t>
      </w:r>
    </w:p>
    <w:p>
      <w:r>
        <w:br w:type="page"/>
      </w:r>
    </w:p>
    <w:p>
      <w:pPr>
        <w:pStyle w:val="Heading1"/>
        <w:spacing w:after="100" w:before="280"/>
      </w:pPr>
      <w:r>
        <w:rPr>
          <w:rFonts w:ascii="Arial" w:cs="Arial" w:eastAsia="Arial" w:hAnsi="Arial"/>
          <w:b/>
          <w:bCs/>
          <w:color w:val="1F3864"/>
          <w:sz w:val="32"/>
          <w:szCs w:val="32"/>
        </w:rPr>
        <w:t xml:space="preserve">4. Treatment Recommendations (Tiered Priority)</w:t>
      </w:r>
    </w:p>
    <w:p>
      <w:pPr>
        <w:pBdr>
          <w:bottom w:val="single" w:color="2E5F8C" w:sz="8" w:space="1"/>
        </w:pBdr>
        <w:spacing w:after="100"/>
      </w:pPr>
    </w:p>
    <w:p>
      <w:pPr>
        <w:spacing w:after="80" w:before="60"/>
      </w:pPr>
      <w:r>
        <w:rPr>
          <w:rFonts w:ascii="Arial" w:cs="Arial" w:eastAsia="Arial" w:hAnsi="Arial"/>
          <w:sz w:val="20"/>
          <w:szCs w:val="20"/>
        </w:rPr>
        <w:t xml:space="preserve">The following tiers are ordered by strength of evidence, suitability for Vipan's specific constraints, and likely transformative impact. They are not mutually exclusive — sequential use is a well-established strategy in myeloma management, and several of these options can be used in succession.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8"/>
              <w:left w:val="single" w:color="1F3864" w:sz="24"/>
              <w:bottom w:val="single" w:color="1F3864" w:sz="8"/>
              <w:right w:val="single" w:color="1F3864" w:sz="2"/>
            </w:tcBorders>
            <w:shd w:fill="FFF5F5" w:val="clear"/>
            <w:tcMar>
              <w:top w:type="dxa" w:w="120"/>
              <w:left w:type="dxa" w:w="200"/>
              <w:bottom w:type="dxa" w:w="120"/>
              <w:right w:type="dxa" w:w="120"/>
            </w:tcMar>
          </w:tcPr>
          <w:p>
            <w:r>
              <w:rPr>
                <w:rFonts w:ascii="Arial" w:cs="Arial" w:eastAsia="Arial" w:hAnsi="Arial"/>
                <w:b/>
                <w:bCs/>
                <w:color w:val="1F3864"/>
                <w:sz w:val="19"/>
                <w:szCs w:val="19"/>
              </w:rPr>
              <w:t xml:space="preserve">CRITICAL FIRST STEP — CLARIFY CAR-T STATUS: Before any new treatment decision, it is imperative to confirm whether CAR-T cell therapy was ever administered. The treatment pathway diverges significantly based on this answer.</w:t>
            </w:r>
          </w:p>
        </w:tc>
      </w:tr>
    </w:tbl>
    <w:p>
      <w:pPr>
        <w:spacing w:after="0" w:before="120"/>
      </w:pPr>
    </w:p>
    <w:p>
      <w:pPr>
        <w:pStyle w:val="Heading2"/>
        <w:spacing w:after="80" w:before="200"/>
      </w:pPr>
      <w:r>
        <w:rPr>
          <w:rFonts w:ascii="Arial" w:cs="Arial" w:eastAsia="Arial" w:hAnsi="Arial"/>
          <w:b/>
          <w:bCs/>
          <w:color w:val="2E5F8C"/>
          <w:sz w:val="26"/>
          <w:szCs w:val="26"/>
        </w:rPr>
        <w:t xml:space="preserve">TIER 1 — CAR-T Cell Therapy (If Not Yet Administered)</w:t>
      </w:r>
    </w:p>
    <w:p>
      <w:pPr>
        <w:pBdr>
          <w:bottom w:val="single" w:color="1F3864" w:sz="8" w:space="1"/>
        </w:pBdr>
        <w:spacing w:after="10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20"/>
            </w:tcMar>
          </w:tcPr>
          <w:p>
            <w:r>
              <w:rPr>
                <w:rFonts w:ascii="Arial" w:cs="Arial" w:eastAsia="Arial" w:hAnsi="Arial"/>
                <w:b/>
                <w:bCs/>
                <w:color w:val="C9A84C"/>
                <w:sz w:val="20"/>
                <w:szCs w:val="20"/>
              </w:rPr>
              <w:t xml:space="preserve">TIER 1 — TOP PRIORITY  </w:t>
            </w:r>
            <w:r>
              <w:rPr>
                <w:rFonts w:ascii="Arial" w:cs="Arial" w:eastAsia="Arial" w:hAnsi="Arial"/>
                <w:b/>
                <w:bCs/>
                <w:color w:val="FFFFFF"/>
                <w:sz w:val="22"/>
                <w:szCs w:val="22"/>
              </w:rPr>
              <w:t xml:space="preserve">Ciltacabtagene Autoleucel (Cilta-cel / Carvykti)</w:t>
            </w:r>
            <w:r>
              <w:rPr>
                <w:rFonts w:ascii="Arial" w:cs="Arial" w:eastAsia="Arial" w:hAnsi="Arial"/>
                <w:b/>
                <w:bCs/>
                <w:color w:val="C9A84C"/>
                <w:sz w:val="18"/>
                <w:szCs w:val="18"/>
              </w:rPr>
              <w:t xml:space="preserve">   ★ TOP PRIORITY</w:t>
            </w:r>
          </w:p>
        </w:tc>
      </w:tr>
      <w:tr>
        <w:tc>
          <w:tcPr>
            <w:tcW w:type="dxa" w:w="9360"/>
            <w:tcBorders>
              <w:top w:val="single" w:color="D9D9D9" w:sz="1"/>
              <w:left w:val="single" w:color="D9D9D9" w:sz="1"/>
              <w:bottom w:val="single" w:color="D9D9D9" w:sz="1"/>
              <w:right w:val="single" w:color="D9D9D9" w:sz="1"/>
            </w:tcBorders>
            <w:shd w:fill="F2F2F2" w:val="clear"/>
            <w:tcMar>
              <w:top w:type="dxa" w:w="100"/>
              <w:left w:type="dxa" w:w="160"/>
              <w:bottom w:type="dxa" w:w="100"/>
              <w:right w:type="dxa" w:w="120"/>
            </w:tcMar>
          </w:tcPr>
          <w:p>
            <w:pPr>
              <w:spacing w:after="60" w:before="0"/>
            </w:pPr>
            <w:r>
              <w:rPr>
                <w:rFonts w:ascii="Arial" w:cs="Arial" w:eastAsia="Arial" w:hAnsi="Arial"/>
                <w:b/>
                <w:bCs/>
                <w:color w:val="1F3864"/>
                <w:sz w:val="19"/>
                <w:szCs w:val="19"/>
              </w:rPr>
              <w:t xml:space="preserve">Mechanism:  </w:t>
            </w:r>
            <w:r>
              <w:rPr>
                <w:rFonts w:ascii="Arial" w:cs="Arial" w:eastAsia="Arial" w:hAnsi="Arial"/>
                <w:sz w:val="19"/>
                <w:szCs w:val="19"/>
              </w:rPr>
              <w:t xml:space="preserve">BCMA-targeted CAR-T cell therapy. A single infusion of patient's own genetically re-engineered T-cells programmed to seek and destroy BCMA-expressing myeloma cells. Provides a prolonged, active anti-myeloma immune response.</w:t>
            </w:r>
          </w:p>
          <w:p>
            <w:pPr>
              <w:spacing w:after="60" w:before="0"/>
            </w:pPr>
            <w:r>
              <w:rPr>
                <w:rFonts w:ascii="Arial" w:cs="Arial" w:eastAsia="Arial" w:hAnsi="Arial"/>
                <w:b/>
                <w:bCs/>
                <w:color w:val="1F3864"/>
                <w:sz w:val="19"/>
                <w:szCs w:val="19"/>
              </w:rPr>
              <w:t xml:space="preserve">Key Trial Data:  </w:t>
            </w:r>
            <w:r>
              <w:rPr>
                <w:rFonts w:ascii="Arial" w:cs="Arial" w:eastAsia="Arial" w:hAnsi="Arial"/>
                <w:sz w:val="19"/>
                <w:szCs w:val="19"/>
              </w:rPr>
              <w:t xml:space="preserve">CARTITUDE-4 (Phase 3, NEJM/Lancet Oncology 2025 updated): 30-month PFS 59.4% vs 25.7% SoC (HR 0.29; p&lt;0.0001); ORR 99.4%; CR/sCR 86.4%; 30-month OS 76.4% vs 63.8% (HR 0.55; p=0.0009). This is the FIRST CAR-T to show an overall survival benefit in a Phase 3 randomised trial in myeloma.</w:t>
            </w:r>
          </w:p>
          <w:p>
            <w:pPr>
              <w:spacing w:after="60" w:before="0"/>
            </w:pPr>
            <w:r>
              <w:rPr>
                <w:rFonts w:ascii="Arial" w:cs="Arial" w:eastAsia="Arial" w:hAnsi="Arial"/>
                <w:b/>
                <w:bCs/>
                <w:color w:val="1F3864"/>
                <w:sz w:val="19"/>
                <w:szCs w:val="19"/>
              </w:rPr>
              <w:t xml:space="preserve">Renal (CKD G3b / eGFR ~43) Suitability:  </w:t>
            </w:r>
            <w:r>
              <w:rPr>
                <w:rFonts w:ascii="Arial" w:cs="Arial" w:eastAsia="Arial" w:hAnsi="Arial"/>
                <w:sz w:val="19"/>
                <w:szCs w:val="19"/>
              </w:rPr>
              <w:t xml:space="preserve">CARTITUDE-4 required eGFR ≥40 mL/min — Vipan's current eGFR of ~43 just meets this threshold. Real-world case series (Kidney Medicine 2024; Clinical Lymphoma Myeloma Leukemia 2026) show feasibility even in patients on haemodialysis. Expert consensus (ASTCT 2025): 'Clinical judgment should be paramount — not the renal function number.' Pre-hydration and nephrology co-management are essential.</w:t>
            </w:r>
          </w:p>
          <w:p>
            <w:pPr>
              <w:spacing w:after="60" w:before="0"/>
            </w:pPr>
            <w:r>
              <w:rPr>
                <w:rFonts w:ascii="Arial" w:cs="Arial" w:eastAsia="Arial" w:hAnsi="Arial"/>
                <w:b/>
                <w:bCs/>
                <w:color w:val="1F3864"/>
                <w:sz w:val="19"/>
                <w:szCs w:val="19"/>
              </w:rPr>
              <w:t xml:space="preserve">India Access:  </w:t>
            </w:r>
            <w:r>
              <w:rPr>
                <w:rFonts w:ascii="Arial" w:cs="Arial" w:eastAsia="Arial" w:hAnsi="Arial"/>
                <w:sz w:val="19"/>
                <w:szCs w:val="19"/>
              </w:rPr>
              <w:t xml:space="preserve">Kymriah (tisagenlecleucel, Novartis) is available in India at select centres — CMC Vellore, Tata Memorial Mumbai, AIIMS New Delhi. Carvykti has limited availability but academic CAR-T programs are expanding. Cost remains the major barrier (₹1–3 crore range). Compassionate use and named patient programs should be explored urgently with J&amp;J/Janssen India.</w:t>
            </w:r>
          </w:p>
          <w:p>
            <w:pPr>
              <w:spacing w:after="0" w:before="0"/>
            </w:pPr>
            <w:r>
              <w:rPr>
                <w:rFonts w:ascii="Arial" w:cs="Arial" w:eastAsia="Arial" w:hAnsi="Arial"/>
                <w:b/>
                <w:bCs/>
                <w:color w:val="1F3864"/>
                <w:sz w:val="19"/>
                <w:szCs w:val="19"/>
              </w:rPr>
              <w:t xml:space="preserve">Status for Vipan:  </w:t>
            </w:r>
            <w:r>
              <w:rPr>
                <w:rFonts w:ascii="Arial" w:cs="Arial" w:eastAsia="Arial" w:hAnsi="Arial"/>
                <w:sz w:val="19"/>
                <w:szCs w:val="19"/>
              </w:rPr>
              <w:t xml:space="preserve">IF CAR-T HAS NOT BEEN GIVEN — pursue this immediately. The 4–6 week lead-time for leukapheresis and manufacturing means this process should begin before further disease progression compromises performance status or renal function further.</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8C" w:sz="1"/>
              <w:left w:val="single" w:color="2E5F8C" w:sz="1"/>
              <w:bottom w:val="single" w:color="2E5F8C" w:sz="1"/>
              <w:right w:val="single" w:color="2E5F8C" w:sz="1"/>
            </w:tcBorders>
            <w:shd w:fill="2E5F8C" w:val="clear"/>
            <w:tcMar>
              <w:top w:type="dxa" w:w="100"/>
              <w:left w:type="dxa" w:w="160"/>
              <w:bottom w:type="dxa" w:w="100"/>
              <w:right w:type="dxa" w:w="120"/>
            </w:tcMar>
          </w:tcPr>
          <w:p>
            <w:r>
              <w:rPr>
                <w:rFonts w:ascii="Arial" w:cs="Arial" w:eastAsia="Arial" w:hAnsi="Arial"/>
                <w:b/>
                <w:bCs/>
                <w:color w:val="C9A84C"/>
                <w:sz w:val="20"/>
                <w:szCs w:val="20"/>
              </w:rPr>
              <w:t xml:space="preserve">TIER 1 — ALTERNATIVE  </w:t>
            </w:r>
            <w:r>
              <w:rPr>
                <w:rFonts w:ascii="Arial" w:cs="Arial" w:eastAsia="Arial" w:hAnsi="Arial"/>
                <w:b/>
                <w:bCs/>
                <w:color w:val="FFFFFF"/>
                <w:sz w:val="22"/>
                <w:szCs w:val="22"/>
              </w:rPr>
              <w:t xml:space="preserve">Idecabtagene Vicleucel (Ide-cel / Abecma)</w:t>
            </w:r>
            <w:r>
              <w:rPr>
                <w:rFonts w:ascii="Arial" w:cs="Arial" w:eastAsia="Arial" w:hAnsi="Arial"/>
                <w:b/>
                <w:bCs/>
                <w:color w:val="C9A84C"/>
                <w:sz w:val="18"/>
                <w:szCs w:val="18"/>
              </w:rPr>
              <w:t xml:space="preserve"/>
            </w:r>
          </w:p>
        </w:tc>
      </w:tr>
      <w:tr>
        <w:tc>
          <w:tcPr>
            <w:tcW w:type="dxa" w:w="9360"/>
            <w:tcBorders>
              <w:top w:val="single" w:color="D9D9D9" w:sz="1"/>
              <w:left w:val="single" w:color="D9D9D9" w:sz="1"/>
              <w:bottom w:val="single" w:color="D9D9D9" w:sz="1"/>
              <w:right w:val="single" w:color="D9D9D9" w:sz="1"/>
            </w:tcBorders>
            <w:shd w:fill="F2F2F2" w:val="clear"/>
            <w:tcMar>
              <w:top w:type="dxa" w:w="100"/>
              <w:left w:type="dxa" w:w="160"/>
              <w:bottom w:type="dxa" w:w="100"/>
              <w:right w:type="dxa" w:w="120"/>
            </w:tcMar>
          </w:tcPr>
          <w:p>
            <w:pPr>
              <w:spacing w:after="60" w:before="0"/>
            </w:pPr>
            <w:r>
              <w:rPr>
                <w:rFonts w:ascii="Arial" w:cs="Arial" w:eastAsia="Arial" w:hAnsi="Arial"/>
                <w:b/>
                <w:bCs/>
                <w:color w:val="1F3864"/>
                <w:sz w:val="19"/>
                <w:szCs w:val="19"/>
              </w:rPr>
              <w:t xml:space="preserve">Mechanism:  </w:t>
            </w:r>
            <w:r>
              <w:rPr>
                <w:rFonts w:ascii="Arial" w:cs="Arial" w:eastAsia="Arial" w:hAnsi="Arial"/>
                <w:sz w:val="19"/>
                <w:szCs w:val="19"/>
              </w:rPr>
              <w:t xml:space="preserve">BCMA-targeted CAR-T cell therapy (bb2121 construct). Single infusion; different manufacturing platform to cilta-cel.</w:t>
            </w:r>
          </w:p>
          <w:p>
            <w:pPr>
              <w:spacing w:after="60" w:before="0"/>
            </w:pPr>
            <w:r>
              <w:rPr>
                <w:rFonts w:ascii="Arial" w:cs="Arial" w:eastAsia="Arial" w:hAnsi="Arial"/>
                <w:b/>
                <w:bCs/>
                <w:color w:val="1F3864"/>
                <w:sz w:val="19"/>
                <w:szCs w:val="19"/>
              </w:rPr>
              <w:t xml:space="preserve">Key Trial Data:  </w:t>
            </w:r>
            <w:r>
              <w:rPr>
                <w:rFonts w:ascii="Arial" w:cs="Arial" w:eastAsia="Arial" w:hAnsi="Arial"/>
                <w:sz w:val="19"/>
                <w:szCs w:val="19"/>
              </w:rPr>
              <w:t xml:space="preserve">KarMMa-3 (Phase 3): ORR 71%; CR/sCR 39%; median PFS 13.3 months vs 4.4 months SoC (HR 0.49). KarMMa-3 required creatinine clearance ≥45 mL/min — Vipan is borderline and requires nephrology clearance. Note: cilta-cel has superior depth of response and is the preferred option where available.</w:t>
            </w:r>
          </w:p>
          <w:p>
            <w:pPr>
              <w:spacing w:after="60" w:before="0"/>
            </w:pPr>
            <w:r>
              <w:rPr>
                <w:rFonts w:ascii="Arial" w:cs="Arial" w:eastAsia="Arial" w:hAnsi="Arial"/>
                <w:b/>
                <w:bCs/>
                <w:color w:val="1F3864"/>
                <w:sz w:val="19"/>
                <w:szCs w:val="19"/>
              </w:rPr>
              <w:t xml:space="preserve">Renal (CKD G3b / eGFR ~43) Suitability:  </w:t>
            </w:r>
            <w:r>
              <w:rPr>
                <w:rFonts w:ascii="Arial" w:cs="Arial" w:eastAsia="Arial" w:hAnsi="Arial"/>
                <w:sz w:val="19"/>
                <w:szCs w:val="19"/>
              </w:rPr>
              <w:t xml:space="preserve">KarMMa-3 threshold is CrCl ≥45 mL/min; this is the slightly more restrictive trial. However, real-world use in CKD is supported. Monitor closely post-infusion for CRS-related renal stress.</w:t>
            </w:r>
          </w:p>
          <w:p>
            <w:pPr>
              <w:spacing w:after="60" w:before="0"/>
            </w:pPr>
            <w:r>
              <w:rPr>
                <w:rFonts w:ascii="Arial" w:cs="Arial" w:eastAsia="Arial" w:hAnsi="Arial"/>
                <w:b/>
                <w:bCs/>
                <w:color w:val="1F3864"/>
                <w:sz w:val="19"/>
                <w:szCs w:val="19"/>
              </w:rPr>
              <w:t xml:space="preserve">India Access:  </w:t>
            </w:r>
            <w:r>
              <w:rPr>
                <w:rFonts w:ascii="Arial" w:cs="Arial" w:eastAsia="Arial" w:hAnsi="Arial"/>
                <w:sz w:val="19"/>
                <w:szCs w:val="19"/>
              </w:rPr>
              <w:t xml:space="preserve">Bristol Myers Squibb / 2seventy bio product. Limited availability in India compared to cilta-cel.</w:t>
            </w:r>
          </w:p>
          <w:p>
            <w:pPr>
              <w:spacing w:after="0" w:before="0"/>
            </w:pPr>
            <w:r>
              <w:rPr>
                <w:rFonts w:ascii="Arial" w:cs="Arial" w:eastAsia="Arial" w:hAnsi="Arial"/>
                <w:b/>
                <w:bCs/>
                <w:color w:val="1F3864"/>
                <w:sz w:val="19"/>
                <w:szCs w:val="19"/>
              </w:rPr>
              <w:t xml:space="preserve">Status for Vipan:  </w:t>
            </w:r>
            <w:r>
              <w:rPr>
                <w:rFonts w:ascii="Arial" w:cs="Arial" w:eastAsia="Arial" w:hAnsi="Arial"/>
                <w:sz w:val="19"/>
                <w:szCs w:val="19"/>
              </w:rPr>
              <w:t xml:space="preserve">Second choice if cilta-cel is unavailable; still superior to any non-CAR-T option in the current landscape.</w:t>
            </w:r>
          </w:p>
        </w:tc>
      </w:tr>
    </w:tbl>
    <w:p>
      <w:pPr>
        <w:spacing w:after="0" w:before="160"/>
      </w:pPr>
    </w:p>
    <w:p>
      <w:pPr>
        <w:spacing w:after="80" w:before="60"/>
      </w:pPr>
      <w:r>
        <w:rPr>
          <w:rFonts w:ascii="Arial" w:cs="Arial" w:eastAsia="Arial" w:hAnsi="Arial"/>
          <w:b/>
          <w:bCs/>
          <w:color w:val="1F3864"/>
          <w:sz w:val="20"/>
          <w:szCs w:val="20"/>
        </w:rPr>
        <w:t xml:space="preserve">If CAR-T was already administered OR is not feasible due to manufacturing, access, or clinical barriers:</w:t>
      </w:r>
    </w:p>
    <w:p>
      <w:pPr>
        <w:spacing w:after="0" w:before="80"/>
      </w:pPr>
    </w:p>
    <w:p>
      <w:pPr>
        <w:pStyle w:val="Heading2"/>
        <w:spacing w:after="80" w:before="200"/>
      </w:pPr>
      <w:r>
        <w:rPr>
          <w:rFonts w:ascii="Arial" w:cs="Arial" w:eastAsia="Arial" w:hAnsi="Arial"/>
          <w:b/>
          <w:bCs/>
          <w:color w:val="2E5F8C"/>
          <w:sz w:val="26"/>
          <w:szCs w:val="26"/>
        </w:rPr>
        <w:t xml:space="preserve">TIER 2 — Teclistamab (Tecvayli®) — BCMA×CD3 Bispecific Antibody</w:t>
      </w:r>
    </w:p>
    <w:p>
      <w:pPr>
        <w:pBdr>
          <w:bottom w:val="single" w:color="2E5F8C" w:sz="8" w:space="1"/>
        </w:pBdr>
        <w:spacing w:after="10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8C" w:sz="1"/>
              <w:left w:val="single" w:color="2E5F8C" w:sz="1"/>
              <w:bottom w:val="single" w:color="2E5F8C" w:sz="1"/>
              <w:right w:val="single" w:color="2E5F8C" w:sz="1"/>
            </w:tcBorders>
            <w:shd w:fill="2E5F8C" w:val="clear"/>
            <w:tcMar>
              <w:top w:type="dxa" w:w="100"/>
              <w:left w:type="dxa" w:w="160"/>
              <w:bottom w:type="dxa" w:w="100"/>
              <w:right w:type="dxa" w:w="120"/>
            </w:tcMar>
          </w:tcPr>
          <w:p>
            <w:r>
              <w:rPr>
                <w:rFonts w:ascii="Arial" w:cs="Arial" w:eastAsia="Arial" w:hAnsi="Arial"/>
                <w:b/>
                <w:bCs/>
                <w:color w:val="C9A84C"/>
                <w:sz w:val="20"/>
                <w:szCs w:val="20"/>
              </w:rPr>
              <w:t xml:space="preserve">TIER 2  </w:t>
            </w:r>
            <w:r>
              <w:rPr>
                <w:rFonts w:ascii="Arial" w:cs="Arial" w:eastAsia="Arial" w:hAnsi="Arial"/>
                <w:b/>
                <w:bCs/>
                <w:color w:val="FFFFFF"/>
                <w:sz w:val="22"/>
                <w:szCs w:val="22"/>
              </w:rPr>
              <w:t xml:space="preserve">Teclistamab (Tecvayli®)</w:t>
            </w:r>
            <w:r>
              <w:rPr>
                <w:rFonts w:ascii="Arial" w:cs="Arial" w:eastAsia="Arial" w:hAnsi="Arial"/>
                <w:b/>
                <w:bCs/>
                <w:color w:val="C9A84C"/>
                <w:sz w:val="18"/>
                <w:szCs w:val="18"/>
              </w:rPr>
              <w:t xml:space="preserve"/>
            </w:r>
          </w:p>
        </w:tc>
      </w:tr>
      <w:tr>
        <w:tc>
          <w:tcPr>
            <w:tcW w:type="dxa" w:w="9360"/>
            <w:tcBorders>
              <w:top w:val="single" w:color="D9D9D9" w:sz="1"/>
              <w:left w:val="single" w:color="D9D9D9" w:sz="1"/>
              <w:bottom w:val="single" w:color="D9D9D9" w:sz="1"/>
              <w:right w:val="single" w:color="D9D9D9" w:sz="1"/>
            </w:tcBorders>
            <w:shd w:fill="F2F2F2" w:val="clear"/>
            <w:tcMar>
              <w:top w:type="dxa" w:w="100"/>
              <w:left w:type="dxa" w:w="160"/>
              <w:bottom w:type="dxa" w:w="100"/>
              <w:right w:type="dxa" w:w="120"/>
            </w:tcMar>
          </w:tcPr>
          <w:p>
            <w:pPr>
              <w:spacing w:after="60" w:before="0"/>
            </w:pPr>
            <w:r>
              <w:rPr>
                <w:rFonts w:ascii="Arial" w:cs="Arial" w:eastAsia="Arial" w:hAnsi="Arial"/>
                <w:b/>
                <w:bCs/>
                <w:color w:val="1F3864"/>
                <w:sz w:val="19"/>
                <w:szCs w:val="19"/>
              </w:rPr>
              <w:t xml:space="preserve">Mechanism:  </w:t>
            </w:r>
            <w:r>
              <w:rPr>
                <w:rFonts w:ascii="Arial" w:cs="Arial" w:eastAsia="Arial" w:hAnsi="Arial"/>
                <w:sz w:val="19"/>
                <w:szCs w:val="19"/>
              </w:rPr>
              <w:t xml:space="preserve">Off-the-shelf BCMA×CD3 T-cell redirecting bispecific antibody. Engages cytotoxic T-cells to kill BCMA-expressing myeloma cells. No cell collection or manufacturing wait-time required.</w:t>
            </w:r>
          </w:p>
          <w:p>
            <w:pPr>
              <w:spacing w:after="60" w:before="0"/>
            </w:pPr>
            <w:r>
              <w:rPr>
                <w:rFonts w:ascii="Arial" w:cs="Arial" w:eastAsia="Arial" w:hAnsi="Arial"/>
                <w:b/>
                <w:bCs/>
                <w:color w:val="1F3864"/>
                <w:sz w:val="19"/>
                <w:szCs w:val="19"/>
              </w:rPr>
              <w:t xml:space="preserve">Key Trial Data:  </w:t>
            </w:r>
            <w:r>
              <w:rPr>
                <w:rFonts w:ascii="Arial" w:cs="Arial" w:eastAsia="Arial" w:hAnsi="Arial"/>
                <w:sz w:val="19"/>
                <w:szCs w:val="19"/>
              </w:rPr>
              <w:t xml:space="preserve">MajesTEC-1 (Phase 1/2): ORR 63.0%; CR/sCR 39.4%; median OS 22.2 months at 30.4-month follow-up. After prior daratumumab, ORR remained ~57%. Blood Advances 2025 (real-world CKD cohort): ORR 52% vs 56% with vs without renal impairment (p=0.61); PFS 4.6 vs 6.5 months (p=0.62) — statistically equivalent outcomes. CRS rates similar in CKD vs non-CKD (51% vs 59%; grade ≥3: 1.2% vs 1%). Critical: 74.5% of patients develop hypogammaglobulinaemia requiring IVIG replacement; 76.4% develop infections — needs aggressive prophylaxis.</w:t>
            </w:r>
          </w:p>
          <w:p>
            <w:pPr>
              <w:spacing w:after="60" w:before="0"/>
            </w:pPr>
            <w:r>
              <w:rPr>
                <w:rFonts w:ascii="Arial" w:cs="Arial" w:eastAsia="Arial" w:hAnsi="Arial"/>
                <w:b/>
                <w:bCs/>
                <w:color w:val="1F3864"/>
                <w:sz w:val="19"/>
                <w:szCs w:val="19"/>
              </w:rPr>
              <w:t xml:space="preserve">Renal (CKD G3b / eGFR ~43) Suitability:  </w:t>
            </w:r>
            <w:r>
              <w:rPr>
                <w:rFonts w:ascii="Arial" w:cs="Arial" w:eastAsia="Arial" w:hAnsi="Arial"/>
                <w:sz w:val="19"/>
                <w:szCs w:val="19"/>
              </w:rPr>
              <w:t xml:space="preserve">Highly suitable. Largest real-world CKD safety dataset among bispecifics. No dose adjustment required. Blood Advances 2025 studied 81 patients with renal impairment including 18 on dialysis — safety profile comparable. Requires step-up dosing protocol (inpatient admission for first 2 doses to monitor for CRS).</w:t>
            </w:r>
          </w:p>
          <w:p>
            <w:pPr>
              <w:spacing w:after="60" w:before="0"/>
            </w:pPr>
            <w:r>
              <w:rPr>
                <w:rFonts w:ascii="Arial" w:cs="Arial" w:eastAsia="Arial" w:hAnsi="Arial"/>
                <w:b/>
                <w:bCs/>
                <w:color w:val="1F3864"/>
                <w:sz w:val="19"/>
                <w:szCs w:val="19"/>
              </w:rPr>
              <w:t xml:space="preserve">India Access:  </w:t>
            </w:r>
            <w:r>
              <w:rPr>
                <w:rFonts w:ascii="Arial" w:cs="Arial" w:eastAsia="Arial" w:hAnsi="Arial"/>
                <w:sz w:val="19"/>
                <w:szCs w:val="19"/>
              </w:rPr>
              <w:t xml:space="preserve">FDA and EMA approved. Available in India via named patient programs through Janssen India. Compassionate use pathway exists. Cost approximately USD 15,000–25,000/month. Academic trials through AIIMS/Tata Memorial may offer access. Step-up dosing inpatient stays required — plan hospitalization accordingly.</w:t>
            </w:r>
          </w:p>
          <w:p>
            <w:pPr>
              <w:spacing w:after="0" w:before="0"/>
            </w:pPr>
            <w:r>
              <w:rPr>
                <w:rFonts w:ascii="Arial" w:cs="Arial" w:eastAsia="Arial" w:hAnsi="Arial"/>
                <w:b/>
                <w:bCs/>
                <w:color w:val="1F3864"/>
                <w:sz w:val="19"/>
                <w:szCs w:val="19"/>
              </w:rPr>
              <w:t xml:space="preserve">Status for Vipan:  </w:t>
            </w:r>
            <w:r>
              <w:rPr>
                <w:rFonts w:ascii="Arial" w:cs="Arial" w:eastAsia="Arial" w:hAnsi="Arial"/>
                <w:sz w:val="19"/>
                <w:szCs w:val="19"/>
              </w:rPr>
              <w:t xml:space="preserve">Highly recommended as first choice post-CAR-T failure or if CAR-T is not feasible. Can follow CAR-T as sequential BCMA targeting. Can also be combined with lenalidomide or pomalidomide in triplet regimens (MajesTEC-2 data).</w:t>
            </w:r>
          </w:p>
        </w:tc>
      </w:tr>
    </w:tbl>
    <w:p>
      <w:pPr>
        <w:spacing w:after="0" w:before="120"/>
      </w:pPr>
    </w:p>
    <w:p>
      <w:pPr>
        <w:pStyle w:val="Heading2"/>
        <w:spacing w:after="80" w:before="200"/>
      </w:pPr>
      <w:r>
        <w:rPr>
          <w:rFonts w:ascii="Arial" w:cs="Arial" w:eastAsia="Arial" w:hAnsi="Arial"/>
          <w:b/>
          <w:bCs/>
          <w:color w:val="2E5F8C"/>
          <w:sz w:val="26"/>
          <w:szCs w:val="26"/>
        </w:rPr>
        <w:t xml:space="preserve">TIER 3 — Talquetamab (Talvey®) — GPRC5D×CD3 Bispecific Antibody</w:t>
      </w:r>
    </w:p>
    <w:p>
      <w:pPr>
        <w:pBdr>
          <w:bottom w:val="single" w:color="2E5F8C" w:sz="8" w:space="1"/>
        </w:pBdr>
        <w:spacing w:after="10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8C" w:sz="1"/>
              <w:left w:val="single" w:color="2E5F8C" w:sz="1"/>
              <w:bottom w:val="single" w:color="2E5F8C" w:sz="1"/>
              <w:right w:val="single" w:color="2E5F8C" w:sz="1"/>
            </w:tcBorders>
            <w:shd w:fill="2E5F8C" w:val="clear"/>
            <w:tcMar>
              <w:top w:type="dxa" w:w="100"/>
              <w:left w:type="dxa" w:w="160"/>
              <w:bottom w:type="dxa" w:w="100"/>
              <w:right w:type="dxa" w:w="120"/>
            </w:tcMar>
          </w:tcPr>
          <w:p>
            <w:r>
              <w:rPr>
                <w:rFonts w:ascii="Arial" w:cs="Arial" w:eastAsia="Arial" w:hAnsi="Arial"/>
                <w:b/>
                <w:bCs/>
                <w:color w:val="C9A84C"/>
                <w:sz w:val="20"/>
                <w:szCs w:val="20"/>
              </w:rPr>
              <w:t xml:space="preserve">TIER 3  </w:t>
            </w:r>
            <w:r>
              <w:rPr>
                <w:rFonts w:ascii="Arial" w:cs="Arial" w:eastAsia="Arial" w:hAnsi="Arial"/>
                <w:b/>
                <w:bCs/>
                <w:color w:val="FFFFFF"/>
                <w:sz w:val="22"/>
                <w:szCs w:val="22"/>
              </w:rPr>
              <w:t xml:space="preserve">Talquetamab (Talvey®)</w:t>
            </w:r>
            <w:r>
              <w:rPr>
                <w:rFonts w:ascii="Arial" w:cs="Arial" w:eastAsia="Arial" w:hAnsi="Arial"/>
                <w:b/>
                <w:bCs/>
                <w:color w:val="C9A84C"/>
                <w:sz w:val="18"/>
                <w:szCs w:val="18"/>
              </w:rPr>
              <w:t xml:space="preserve"/>
            </w:r>
          </w:p>
        </w:tc>
      </w:tr>
      <w:tr>
        <w:tc>
          <w:tcPr>
            <w:tcW w:type="dxa" w:w="9360"/>
            <w:tcBorders>
              <w:top w:val="single" w:color="D9D9D9" w:sz="1"/>
              <w:left w:val="single" w:color="D9D9D9" w:sz="1"/>
              <w:bottom w:val="single" w:color="D9D9D9" w:sz="1"/>
              <w:right w:val="single" w:color="D9D9D9" w:sz="1"/>
            </w:tcBorders>
            <w:shd w:fill="F2F2F2" w:val="clear"/>
            <w:tcMar>
              <w:top w:type="dxa" w:w="100"/>
              <w:left w:type="dxa" w:w="160"/>
              <w:bottom w:type="dxa" w:w="100"/>
              <w:right w:type="dxa" w:w="120"/>
            </w:tcMar>
          </w:tcPr>
          <w:p>
            <w:pPr>
              <w:spacing w:after="60" w:before="0"/>
            </w:pPr>
            <w:r>
              <w:rPr>
                <w:rFonts w:ascii="Arial" w:cs="Arial" w:eastAsia="Arial" w:hAnsi="Arial"/>
                <w:b/>
                <w:bCs/>
                <w:color w:val="1F3864"/>
                <w:sz w:val="19"/>
                <w:szCs w:val="19"/>
              </w:rPr>
              <w:t xml:space="preserve">Mechanism:  </w:t>
            </w:r>
            <w:r>
              <w:rPr>
                <w:rFonts w:ascii="Arial" w:cs="Arial" w:eastAsia="Arial" w:hAnsi="Arial"/>
                <w:sz w:val="19"/>
                <w:szCs w:val="19"/>
              </w:rPr>
              <w:t xml:space="preserve">GPRC5D×CD3 T-cell redirecting bispecific antibody. GPRC5D is a G-protein coupled receptor expressed on myeloma cells (and skin, nails, and taste receptors — accounting for unique side effects). Completely different target from BCMA — no cross-resistance with BCMA-targeted agents.</w:t>
            </w:r>
          </w:p>
          <w:p>
            <w:pPr>
              <w:spacing w:after="60" w:before="0"/>
            </w:pPr>
            <w:r>
              <w:rPr>
                <w:rFonts w:ascii="Arial" w:cs="Arial" w:eastAsia="Arial" w:hAnsi="Arial"/>
                <w:b/>
                <w:bCs/>
                <w:color w:val="1F3864"/>
                <w:sz w:val="19"/>
                <w:szCs w:val="19"/>
              </w:rPr>
              <w:t xml:space="preserve">Key Trial Data:  </w:t>
            </w:r>
            <w:r>
              <w:rPr>
                <w:rFonts w:ascii="Arial" w:cs="Arial" w:eastAsia="Arial" w:hAnsi="Arial"/>
                <w:sz w:val="19"/>
                <w:szCs w:val="19"/>
              </w:rPr>
              <w:t xml:space="preserve">MonumenTAL-1 (Phase 1/2): ORR ~70% (0.8 mg/kg QW) to 74% (0.4 mg/kg Q2W). Deep responses including MRD negativity. Real-world matched comparison (ScienceDirect 2025): talquetamab ORR broadly comparable to teclistamab in pretreated populations. Skin/nail/taste-related adverse events (oral dysgeusia 68%, skin rash 56%, nail changes 48%) are unique and manageable but require counselling.</w:t>
            </w:r>
          </w:p>
          <w:p>
            <w:pPr>
              <w:spacing w:after="60" w:before="0"/>
            </w:pPr>
            <w:r>
              <w:rPr>
                <w:rFonts w:ascii="Arial" w:cs="Arial" w:eastAsia="Arial" w:hAnsi="Arial"/>
                <w:b/>
                <w:bCs/>
                <w:color w:val="1F3864"/>
                <w:sz w:val="19"/>
                <w:szCs w:val="19"/>
              </w:rPr>
              <w:t xml:space="preserve">Renal (CKD G3b / eGFR ~43) Suitability:  </w:t>
            </w:r>
            <w:r>
              <w:rPr>
                <w:rFonts w:ascii="Arial" w:cs="Arial" w:eastAsia="Arial" w:hAnsi="Arial"/>
                <w:sz w:val="19"/>
                <w:szCs w:val="19"/>
              </w:rPr>
              <w:t xml:space="preserve">Limited formal CKD-specific data but no known renal-specific dose adjustment required. Mechanism-of-action toxicities (skin, nails, taste) are not nephrotoxic. Monitor creatinine and potassium post-infusion. Step-up dosing similarly required.</w:t>
            </w:r>
          </w:p>
          <w:p>
            <w:pPr>
              <w:spacing w:after="60" w:before="0"/>
            </w:pPr>
            <w:r>
              <w:rPr>
                <w:rFonts w:ascii="Arial" w:cs="Arial" w:eastAsia="Arial" w:hAnsi="Arial"/>
                <w:b/>
                <w:bCs/>
                <w:color w:val="1F3864"/>
                <w:sz w:val="19"/>
                <w:szCs w:val="19"/>
              </w:rPr>
              <w:t xml:space="preserve">India Access:  </w:t>
            </w:r>
            <w:r>
              <w:rPr>
                <w:rFonts w:ascii="Arial" w:cs="Arial" w:eastAsia="Arial" w:hAnsi="Arial"/>
                <w:sz w:val="19"/>
                <w:szCs w:val="19"/>
              </w:rPr>
              <w:t xml:space="preserve">FDA and EMA approved (June 2023). Named patient program through J&amp;J/Janssen India. RedirecTT-1 combination trial (teclistamab + talquetamab) showed ORR 80% — dual bispecific strategy being explored.</w:t>
            </w:r>
          </w:p>
          <w:p>
            <w:pPr>
              <w:spacing w:after="0" w:before="0"/>
            </w:pPr>
            <w:r>
              <w:rPr>
                <w:rFonts w:ascii="Arial" w:cs="Arial" w:eastAsia="Arial" w:hAnsi="Arial"/>
                <w:b/>
                <w:bCs/>
                <w:color w:val="1F3864"/>
                <w:sz w:val="19"/>
                <w:szCs w:val="19"/>
              </w:rPr>
              <w:t xml:space="preserve">Status for Vipan:  </w:t>
            </w:r>
            <w:r>
              <w:rPr>
                <w:rFonts w:ascii="Arial" w:cs="Arial" w:eastAsia="Arial" w:hAnsi="Arial"/>
                <w:sz w:val="19"/>
                <w:szCs w:val="19"/>
              </w:rPr>
              <w:t xml:space="preserve">KEY ADVANTAGE: If BCMA-directed CAR-T was already given and BCMA-targeting agents are anticipated to be less effective, talquetamab offers a completely different target with strong independent activity. This is the preferred bispecific in the post-BCMA-CAR-T setting.</w:t>
            </w:r>
          </w:p>
        </w:tc>
      </w:tr>
    </w:tbl>
    <w:p>
      <w:pPr>
        <w:spacing w:after="0" w:before="120"/>
      </w:pPr>
    </w:p>
    <w:p>
      <w:pPr>
        <w:pStyle w:val="Heading2"/>
        <w:spacing w:after="80" w:before="200"/>
      </w:pPr>
      <w:r>
        <w:rPr>
          <w:rFonts w:ascii="Arial" w:cs="Arial" w:eastAsia="Arial" w:hAnsi="Arial"/>
          <w:b/>
          <w:bCs/>
          <w:color w:val="2E5F8C"/>
          <w:sz w:val="26"/>
          <w:szCs w:val="26"/>
        </w:rPr>
        <w:t xml:space="preserve">TIER 4 — Belantamab Mafodotin + Pomalidomide + Dex (BPd)</w:t>
      </w:r>
    </w:p>
    <w:p>
      <w:pPr>
        <w:pBdr>
          <w:bottom w:val="single" w:color="2E5F8C" w:sz="8" w:space="1"/>
        </w:pBdr>
        <w:spacing w:after="10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8C" w:sz="1"/>
              <w:left w:val="single" w:color="2E5F8C" w:sz="1"/>
              <w:bottom w:val="single" w:color="2E5F8C" w:sz="1"/>
              <w:right w:val="single" w:color="2E5F8C" w:sz="1"/>
            </w:tcBorders>
            <w:shd w:fill="2E5F8C" w:val="clear"/>
            <w:tcMar>
              <w:top w:type="dxa" w:w="100"/>
              <w:left w:type="dxa" w:w="160"/>
              <w:bottom w:type="dxa" w:w="100"/>
              <w:right w:type="dxa" w:w="120"/>
            </w:tcMar>
          </w:tcPr>
          <w:p>
            <w:r>
              <w:rPr>
                <w:rFonts w:ascii="Arial" w:cs="Arial" w:eastAsia="Arial" w:hAnsi="Arial"/>
                <w:b/>
                <w:bCs/>
                <w:color w:val="C9A84C"/>
                <w:sz w:val="20"/>
                <w:szCs w:val="20"/>
              </w:rPr>
              <w:t xml:space="preserve">TIER 4  </w:t>
            </w:r>
            <w:r>
              <w:rPr>
                <w:rFonts w:ascii="Arial" w:cs="Arial" w:eastAsia="Arial" w:hAnsi="Arial"/>
                <w:b/>
                <w:bCs/>
                <w:color w:val="FFFFFF"/>
                <w:sz w:val="22"/>
                <w:szCs w:val="22"/>
              </w:rPr>
              <w:t xml:space="preserve">Belantamab Mafodotin-blmf (Blenrep®) + Pomalidomide + Dexamethasone (BPd)</w:t>
            </w:r>
            <w:r>
              <w:rPr>
                <w:rFonts w:ascii="Arial" w:cs="Arial" w:eastAsia="Arial" w:hAnsi="Arial"/>
                <w:b/>
                <w:bCs/>
                <w:color w:val="C9A84C"/>
                <w:sz w:val="18"/>
                <w:szCs w:val="18"/>
              </w:rPr>
              <w:t xml:space="preserve"/>
            </w:r>
          </w:p>
        </w:tc>
      </w:tr>
      <w:tr>
        <w:tc>
          <w:tcPr>
            <w:tcW w:type="dxa" w:w="9360"/>
            <w:tcBorders>
              <w:top w:val="single" w:color="D9D9D9" w:sz="1"/>
              <w:left w:val="single" w:color="D9D9D9" w:sz="1"/>
              <w:bottom w:val="single" w:color="D9D9D9" w:sz="1"/>
              <w:right w:val="single" w:color="D9D9D9" w:sz="1"/>
            </w:tcBorders>
            <w:shd w:fill="F2F2F2" w:val="clear"/>
            <w:tcMar>
              <w:top w:type="dxa" w:w="100"/>
              <w:left w:type="dxa" w:w="160"/>
              <w:bottom w:type="dxa" w:w="100"/>
              <w:right w:type="dxa" w:w="120"/>
            </w:tcMar>
          </w:tcPr>
          <w:p>
            <w:pPr>
              <w:spacing w:after="60" w:before="0"/>
            </w:pPr>
            <w:r>
              <w:rPr>
                <w:rFonts w:ascii="Arial" w:cs="Arial" w:eastAsia="Arial" w:hAnsi="Arial"/>
                <w:b/>
                <w:bCs/>
                <w:color w:val="1F3864"/>
                <w:sz w:val="19"/>
                <w:szCs w:val="19"/>
              </w:rPr>
              <w:t xml:space="preserve">Mechanism:  </w:t>
            </w:r>
            <w:r>
              <w:rPr>
                <w:rFonts w:ascii="Arial" w:cs="Arial" w:eastAsia="Arial" w:hAnsi="Arial"/>
                <w:sz w:val="19"/>
                <w:szCs w:val="19"/>
              </w:rPr>
              <w:t xml:space="preserve">Belantamab is an antibody-drug conjugate (ADC) targeting BCMA, delivering the microtubule-disrupting payload MMAF directly into myeloma cells. Combined with pomalidomide (IMiD) and dexamethasone for synergistic anti-myeloma activity.</w:t>
            </w:r>
          </w:p>
          <w:p>
            <w:pPr>
              <w:spacing w:after="60" w:before="0"/>
            </w:pPr>
            <w:r>
              <w:rPr>
                <w:rFonts w:ascii="Arial" w:cs="Arial" w:eastAsia="Arial" w:hAnsi="Arial"/>
                <w:b/>
                <w:bCs/>
                <w:color w:val="1F3864"/>
                <w:sz w:val="19"/>
                <w:szCs w:val="19"/>
              </w:rPr>
              <w:t xml:space="preserve">Key Trial Data:  </w:t>
            </w:r>
            <w:r>
              <w:rPr>
                <w:rFonts w:ascii="Arial" w:cs="Arial" w:eastAsia="Arial" w:hAnsi="Arial"/>
                <w:sz w:val="19"/>
                <w:szCs w:val="19"/>
              </w:rPr>
              <w:t xml:space="preserve">DREAMM-8 (Phase 3, NEJM 2024 / Lancet Haematology 2025 PRO update / EHA 2025 long-term data): BPd vs PVd. 12-month PFS 71% vs 51% (HR 0.52; p&lt;0.001). Median PFS &gt;30 months with BPd vs ~12 months PVd. CR/sCR rate 40% vs 16%. BPd also showed statistically significant benefit in the high-risk cytogenetic subgroup including +1q21 patients (JCO 2025 subgroup analysis — directly relevant to Vipan). Ocular toxicity (keratopathy): 89% any grade; grade 3-4 in 43% — requires mandatory ophthalmology monitoring every 3–6 weeks and dose modifications.</w:t>
            </w:r>
          </w:p>
          <w:p>
            <w:pPr>
              <w:spacing w:after="60" w:before="0"/>
            </w:pPr>
            <w:r>
              <w:rPr>
                <w:rFonts w:ascii="Arial" w:cs="Arial" w:eastAsia="Arial" w:hAnsi="Arial"/>
                <w:b/>
                <w:bCs/>
                <w:color w:val="1F3864"/>
                <w:sz w:val="19"/>
                <w:szCs w:val="19"/>
              </w:rPr>
              <w:t xml:space="preserve">Renal (CKD G3b / eGFR ~43) Suitability:  </w:t>
            </w:r>
            <w:r>
              <w:rPr>
                <w:rFonts w:ascii="Arial" w:cs="Arial" w:eastAsia="Arial" w:hAnsi="Arial"/>
                <w:sz w:val="19"/>
                <w:szCs w:val="19"/>
              </w:rPr>
              <w:t xml:space="preserve">Post-hoc DREAMM-2 analysis confirmed efficacy and safety consistent across renal function strata. Pomalidomide: no dose adjustment needed at eGFR ≥30 (MM-013 trial). The ocular toxicity of belantamab is not nephrotoxic. No renal-specific dose adjustment required for belantamab mafodotin.</w:t>
            </w:r>
          </w:p>
          <w:p>
            <w:pPr>
              <w:spacing w:after="60" w:before="0"/>
            </w:pPr>
            <w:r>
              <w:rPr>
                <w:rFonts w:ascii="Arial" w:cs="Arial" w:eastAsia="Arial" w:hAnsi="Arial"/>
                <w:b/>
                <w:bCs/>
                <w:color w:val="1F3864"/>
                <w:sz w:val="19"/>
                <w:szCs w:val="19"/>
              </w:rPr>
              <w:t xml:space="preserve">India Access:  </w:t>
            </w:r>
            <w:r>
              <w:rPr>
                <w:rFonts w:ascii="Arial" w:cs="Arial" w:eastAsia="Arial" w:hAnsi="Arial"/>
                <w:sz w:val="19"/>
                <w:szCs w:val="19"/>
              </w:rPr>
              <w:t xml:space="preserve">Belantamab mafodotin (Blenrep, GSK) had restricted availability after 2022 FDA withdrawal but was re-approved post-DREAMM-7/8 data. Available in India through GSK compassionate use/named patient programs. Pomalidomide (Pomalyst/generic) is commercially available in India. DREAMM-8 subgroup data specifically supporting +1q21 patients makes this very relevant.</w:t>
            </w:r>
          </w:p>
          <w:p>
            <w:pPr>
              <w:spacing w:after="0" w:before="0"/>
            </w:pPr>
            <w:r>
              <w:rPr>
                <w:rFonts w:ascii="Arial" w:cs="Arial" w:eastAsia="Arial" w:hAnsi="Arial"/>
                <w:b/>
                <w:bCs/>
                <w:color w:val="1F3864"/>
                <w:sz w:val="19"/>
                <w:szCs w:val="19"/>
              </w:rPr>
              <w:t xml:space="preserve">Status for Vipan:  </w:t>
            </w:r>
            <w:r>
              <w:rPr>
                <w:rFonts w:ascii="Arial" w:cs="Arial" w:eastAsia="Arial" w:hAnsi="Arial"/>
                <w:sz w:val="19"/>
                <w:szCs w:val="19"/>
              </w:rPr>
              <w:t xml:space="preserve">Recommended for patients who are not eligible for or have failed bispecific antibodies. The DREAMM-8 cytogenetic subgroup data showing benefit specifically in +1q21 patients makes this an especially compelling option for Vipan. Ocular monitoring infrastructure (slit-lamp ophthalmology) must be confirmed before initiation.</w:t>
            </w:r>
          </w:p>
        </w:tc>
      </w:tr>
    </w:tbl>
    <w:p>
      <w:pPr>
        <w:spacing w:after="0" w:before="120"/>
      </w:pPr>
    </w:p>
    <w:p>
      <w:pPr>
        <w:pStyle w:val="Heading2"/>
        <w:spacing w:after="80" w:before="200"/>
      </w:pPr>
      <w:r>
        <w:rPr>
          <w:rFonts w:ascii="Arial" w:cs="Arial" w:eastAsia="Arial" w:hAnsi="Arial"/>
          <w:b/>
          <w:bCs/>
          <w:color w:val="2E5F8C"/>
          <w:sz w:val="26"/>
          <w:szCs w:val="26"/>
        </w:rPr>
        <w:t xml:space="preserve">TIER 5 — Isatuximab + Pomalidomide + Dex (IsaPd)</w:t>
      </w:r>
    </w:p>
    <w:p>
      <w:pPr>
        <w:pBdr>
          <w:bottom w:val="single" w:color="2E5F8C" w:sz="8" w:space="1"/>
        </w:pBdr>
        <w:spacing w:after="10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8C" w:sz="1"/>
              <w:left w:val="single" w:color="2E5F8C" w:sz="1"/>
              <w:bottom w:val="single" w:color="2E5F8C" w:sz="1"/>
              <w:right w:val="single" w:color="2E5F8C" w:sz="1"/>
            </w:tcBorders>
            <w:shd w:fill="2E5F8C" w:val="clear"/>
            <w:tcMar>
              <w:top w:type="dxa" w:w="100"/>
              <w:left w:type="dxa" w:w="160"/>
              <w:bottom w:type="dxa" w:w="100"/>
              <w:right w:type="dxa" w:w="120"/>
            </w:tcMar>
          </w:tcPr>
          <w:p>
            <w:r>
              <w:rPr>
                <w:rFonts w:ascii="Arial" w:cs="Arial" w:eastAsia="Arial" w:hAnsi="Arial"/>
                <w:b/>
                <w:bCs/>
                <w:color w:val="C9A84C"/>
                <w:sz w:val="20"/>
                <w:szCs w:val="20"/>
              </w:rPr>
              <w:t xml:space="preserve">TIER 5  </w:t>
            </w:r>
            <w:r>
              <w:rPr>
                <w:rFonts w:ascii="Arial" w:cs="Arial" w:eastAsia="Arial" w:hAnsi="Arial"/>
                <w:b/>
                <w:bCs/>
                <w:color w:val="FFFFFF"/>
                <w:sz w:val="22"/>
                <w:szCs w:val="22"/>
              </w:rPr>
              <w:t xml:space="preserve">Isatuximab (Sarclisa®) + Pomalidomide + Dexamethasone</w:t>
            </w:r>
            <w:r>
              <w:rPr>
                <w:rFonts w:ascii="Arial" w:cs="Arial" w:eastAsia="Arial" w:hAnsi="Arial"/>
                <w:b/>
                <w:bCs/>
                <w:color w:val="C9A84C"/>
                <w:sz w:val="18"/>
                <w:szCs w:val="18"/>
              </w:rPr>
              <w:t xml:space="preserve"/>
            </w:r>
          </w:p>
        </w:tc>
      </w:tr>
      <w:tr>
        <w:tc>
          <w:tcPr>
            <w:tcW w:type="dxa" w:w="9360"/>
            <w:tcBorders>
              <w:top w:val="single" w:color="D9D9D9" w:sz="1"/>
              <w:left w:val="single" w:color="D9D9D9" w:sz="1"/>
              <w:bottom w:val="single" w:color="D9D9D9" w:sz="1"/>
              <w:right w:val="single" w:color="D9D9D9" w:sz="1"/>
            </w:tcBorders>
            <w:shd w:fill="F2F2F2" w:val="clear"/>
            <w:tcMar>
              <w:top w:type="dxa" w:w="100"/>
              <w:left w:type="dxa" w:w="160"/>
              <w:bottom w:type="dxa" w:w="100"/>
              <w:right w:type="dxa" w:w="120"/>
            </w:tcMar>
          </w:tcPr>
          <w:p>
            <w:pPr>
              <w:spacing w:after="60" w:before="0"/>
            </w:pPr>
            <w:r>
              <w:rPr>
                <w:rFonts w:ascii="Arial" w:cs="Arial" w:eastAsia="Arial" w:hAnsi="Arial"/>
                <w:b/>
                <w:bCs/>
                <w:color w:val="1F3864"/>
                <w:sz w:val="19"/>
                <w:szCs w:val="19"/>
              </w:rPr>
              <w:t xml:space="preserve">Mechanism:  </w:t>
            </w:r>
            <w:r>
              <w:rPr>
                <w:rFonts w:ascii="Arial" w:cs="Arial" w:eastAsia="Arial" w:hAnsi="Arial"/>
                <w:sz w:val="19"/>
                <w:szCs w:val="19"/>
              </w:rPr>
              <w:t xml:space="preserve">Isatuximab is an anti-CD38 IgG1 monoclonal antibody with a different epitope binding site and mechanism of action than daratumumab, including direct pro-apoptotic activity independent of Fc-effector functions. Prior daratumumab exposure does NOT preclude isatuximab response.</w:t>
            </w:r>
          </w:p>
          <w:p>
            <w:pPr>
              <w:spacing w:after="60" w:before="0"/>
            </w:pPr>
            <w:r>
              <w:rPr>
                <w:rFonts w:ascii="Arial" w:cs="Arial" w:eastAsia="Arial" w:hAnsi="Arial"/>
                <w:b/>
                <w:bCs/>
                <w:color w:val="1F3864"/>
                <w:sz w:val="19"/>
                <w:szCs w:val="19"/>
              </w:rPr>
              <w:t xml:space="preserve">Key Trial Data:  </w:t>
            </w:r>
            <w:r>
              <w:rPr>
                <w:rFonts w:ascii="Arial" w:cs="Arial" w:eastAsia="Arial" w:hAnsi="Arial"/>
                <w:sz w:val="19"/>
                <w:szCs w:val="19"/>
              </w:rPr>
              <w:t xml:space="preserve">ICARIA-MM (Phase 3, Lancet 2020 / Haematologica 2024 final OS analysis): Isatuximab-PomDex vs PomDex alone. Median OS 24.6 vs 17.7 months. Median PFS 11.5 vs 6.5 months (HR 0.60; p=0.0010). Crucially, the ICARIA-MM renal impairment subgroup (Leukemia 2021) confirmed efficacy and safety were maintained in patients with renal impairment. IKEMA (Phase 3): Isatuximab + carfilzomib + Dex showed median PFS 35.7 vs 19.2 months vs Kd alone — but carfilzomib is the limiting factor for Vipan given CKD.</w:t>
            </w:r>
          </w:p>
          <w:p>
            <w:pPr>
              <w:spacing w:after="60" w:before="0"/>
            </w:pPr>
            <w:r>
              <w:rPr>
                <w:rFonts w:ascii="Arial" w:cs="Arial" w:eastAsia="Arial" w:hAnsi="Arial"/>
                <w:b/>
                <w:bCs/>
                <w:color w:val="1F3864"/>
                <w:sz w:val="19"/>
                <w:szCs w:val="19"/>
              </w:rPr>
              <w:t xml:space="preserve">Renal (CKD G3b / eGFR ~43) Suitability:  </w:t>
            </w:r>
            <w:r>
              <w:rPr>
                <w:rFonts w:ascii="Arial" w:cs="Arial" w:eastAsia="Arial" w:hAnsi="Arial"/>
                <w:sz w:val="19"/>
                <w:szCs w:val="19"/>
              </w:rPr>
              <w:t xml:space="preserve">No dose adjustment required for isatuximab. IV infusions given over 3–4 hours with premedications. Renal impairment subgroup in ICARIA-MM specifically showed preserved efficacy and acceptable safety. Pomalidomide 4 mg/day: no adjustment at eGFR ≥30. IsaPomDex is the preferred regimen here over IsaKd given Vipan's borderline renal function (carfilzomib carries TMA/AKI risk).</w:t>
            </w:r>
          </w:p>
          <w:p>
            <w:pPr>
              <w:spacing w:after="60" w:before="0"/>
            </w:pPr>
            <w:r>
              <w:rPr>
                <w:rFonts w:ascii="Arial" w:cs="Arial" w:eastAsia="Arial" w:hAnsi="Arial"/>
                <w:b/>
                <w:bCs/>
                <w:color w:val="1F3864"/>
                <w:sz w:val="19"/>
                <w:szCs w:val="19"/>
              </w:rPr>
              <w:t xml:space="preserve">India Access:  </w:t>
            </w:r>
            <w:r>
              <w:rPr>
                <w:rFonts w:ascii="Arial" w:cs="Arial" w:eastAsia="Arial" w:hAnsi="Arial"/>
                <w:sz w:val="19"/>
                <w:szCs w:val="19"/>
              </w:rPr>
              <w:t xml:space="preserve">Isatuximab (Sarclisa, Sanofi) is commercially available in India. This makes it one of the most accessible advanced options. Pomalidomide generic is available. IsaPomDex can be initiated at a major haematology centre in India (e.g., Amrita Hospital, where Dr. Prashant Mehta is listed as consultant).</w:t>
            </w:r>
          </w:p>
          <w:p>
            <w:pPr>
              <w:spacing w:after="0" w:before="0"/>
            </w:pPr>
            <w:r>
              <w:rPr>
                <w:rFonts w:ascii="Arial" w:cs="Arial" w:eastAsia="Arial" w:hAnsi="Arial"/>
                <w:b/>
                <w:bCs/>
                <w:color w:val="1F3864"/>
                <w:sz w:val="19"/>
                <w:szCs w:val="19"/>
              </w:rPr>
              <w:t xml:space="preserve">Status for Vipan:  </w:t>
            </w:r>
            <w:r>
              <w:rPr>
                <w:rFonts w:ascii="Arial" w:cs="Arial" w:eastAsia="Arial" w:hAnsi="Arial"/>
                <w:sz w:val="19"/>
                <w:szCs w:val="19"/>
              </w:rPr>
              <w:t xml:space="preserve">Particularly relevant as a commercially accessible regimen in India post-daratumumab. The different CD38 epitope means activity is preserved even after prior daratumumab use. Dr. Prashant Mehta at Amrita Hospital should be consulted for this regimen.</w:t>
            </w:r>
          </w:p>
        </w:tc>
      </w:tr>
    </w:tbl>
    <w:p>
      <w:pPr>
        <w:spacing w:after="0" w:before="120"/>
      </w:pPr>
    </w:p>
    <w:p>
      <w:pPr>
        <w:pStyle w:val="Heading2"/>
        <w:spacing w:after="80" w:before="200"/>
      </w:pPr>
      <w:r>
        <w:rPr>
          <w:rFonts w:ascii="Arial" w:cs="Arial" w:eastAsia="Arial" w:hAnsi="Arial"/>
          <w:b/>
          <w:bCs/>
          <w:color w:val="2E5F8C"/>
          <w:sz w:val="26"/>
          <w:szCs w:val="26"/>
        </w:rPr>
        <w:t xml:space="preserve">TIER 6 — Selinexor + Bortezomib + Dex (XVd)</w:t>
      </w:r>
    </w:p>
    <w:p>
      <w:pPr>
        <w:pBdr>
          <w:bottom w:val="single" w:color="2E5F8C" w:sz="8" w:space="1"/>
        </w:pBdr>
        <w:spacing w:after="10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8C" w:sz="1"/>
              <w:left w:val="single" w:color="2E5F8C" w:sz="1"/>
              <w:bottom w:val="single" w:color="2E5F8C" w:sz="1"/>
              <w:right w:val="single" w:color="2E5F8C" w:sz="1"/>
            </w:tcBorders>
            <w:shd w:fill="2E5F8C" w:val="clear"/>
            <w:tcMar>
              <w:top w:type="dxa" w:w="100"/>
              <w:left w:type="dxa" w:w="160"/>
              <w:bottom w:type="dxa" w:w="100"/>
              <w:right w:type="dxa" w:w="120"/>
            </w:tcMar>
          </w:tcPr>
          <w:p>
            <w:r>
              <w:rPr>
                <w:rFonts w:ascii="Arial" w:cs="Arial" w:eastAsia="Arial" w:hAnsi="Arial"/>
                <w:b/>
                <w:bCs/>
                <w:color w:val="C9A84C"/>
                <w:sz w:val="20"/>
                <w:szCs w:val="20"/>
              </w:rPr>
              <w:t xml:space="preserve">TIER 6  </w:t>
            </w:r>
            <w:r>
              <w:rPr>
                <w:rFonts w:ascii="Arial" w:cs="Arial" w:eastAsia="Arial" w:hAnsi="Arial"/>
                <w:b/>
                <w:bCs/>
                <w:color w:val="FFFFFF"/>
                <w:sz w:val="22"/>
                <w:szCs w:val="22"/>
              </w:rPr>
              <w:t xml:space="preserve">Selinexor (Xpovio®) + Bortezomib + Dexamethasone (XVd)</w:t>
            </w:r>
            <w:r>
              <w:rPr>
                <w:rFonts w:ascii="Arial" w:cs="Arial" w:eastAsia="Arial" w:hAnsi="Arial"/>
                <w:b/>
                <w:bCs/>
                <w:color w:val="C9A84C"/>
                <w:sz w:val="18"/>
                <w:szCs w:val="18"/>
              </w:rPr>
              <w:t xml:space="preserve"/>
            </w:r>
          </w:p>
        </w:tc>
      </w:tr>
      <w:tr>
        <w:tc>
          <w:tcPr>
            <w:tcW w:type="dxa" w:w="9360"/>
            <w:tcBorders>
              <w:top w:val="single" w:color="D9D9D9" w:sz="1"/>
              <w:left w:val="single" w:color="D9D9D9" w:sz="1"/>
              <w:bottom w:val="single" w:color="D9D9D9" w:sz="1"/>
              <w:right w:val="single" w:color="D9D9D9" w:sz="1"/>
            </w:tcBorders>
            <w:shd w:fill="F2F2F2" w:val="clear"/>
            <w:tcMar>
              <w:top w:type="dxa" w:w="100"/>
              <w:left w:type="dxa" w:w="160"/>
              <w:bottom w:type="dxa" w:w="100"/>
              <w:right w:type="dxa" w:w="120"/>
            </w:tcMar>
          </w:tcPr>
          <w:p>
            <w:pPr>
              <w:spacing w:after="60" w:before="0"/>
            </w:pPr>
            <w:r>
              <w:rPr>
                <w:rFonts w:ascii="Arial" w:cs="Arial" w:eastAsia="Arial" w:hAnsi="Arial"/>
                <w:b/>
                <w:bCs/>
                <w:color w:val="1F3864"/>
                <w:sz w:val="19"/>
                <w:szCs w:val="19"/>
              </w:rPr>
              <w:t xml:space="preserve">Mechanism:  </w:t>
            </w:r>
            <w:r>
              <w:rPr>
                <w:rFonts w:ascii="Arial" w:cs="Arial" w:eastAsia="Arial" w:hAnsi="Arial"/>
                <w:sz w:val="19"/>
                <w:szCs w:val="19"/>
              </w:rPr>
              <w:t xml:space="preserve">Selinexor is an oral selective inhibitor of nuclear export (SINE) — it blocks XPO1, trapping tumour suppressor proteins and mRNA in the nucleus, forcing cancer cell apoptosis. Combined with bortezomib (a re-sensitizing PI) and dexamethasone.</w:t>
            </w:r>
          </w:p>
          <w:p>
            <w:pPr>
              <w:spacing w:after="60" w:before="0"/>
            </w:pPr>
            <w:r>
              <w:rPr>
                <w:rFonts w:ascii="Arial" w:cs="Arial" w:eastAsia="Arial" w:hAnsi="Arial"/>
                <w:b/>
                <w:bCs/>
                <w:color w:val="1F3864"/>
                <w:sz w:val="19"/>
                <w:szCs w:val="19"/>
              </w:rPr>
              <w:t xml:space="preserve">Key Trial Data:  </w:t>
            </w:r>
            <w:r>
              <w:rPr>
                <w:rFonts w:ascii="Arial" w:cs="Arial" w:eastAsia="Arial" w:hAnsi="Arial"/>
                <w:sz w:val="19"/>
                <w:szCs w:val="19"/>
              </w:rPr>
              <w:t xml:space="preserve">BOSTON (Phase 3): XVd vs Vd. Median PFS 13.93 vs 9.46 months (HR 0.70; p=0.0075). ORR 76.4% vs 62.3%. Notably, XVd showed benefit irrespective of prior bortezomib refractoriness in some subgroups. Selinexor + bortezomib achieves synergistic bortezomib re-sensitization via nuclear export blockade. STORM study post-hoc (ScienceDirect): renal function had no impact on selinexor efficacy; 25–67% of patients showed renal function improvement during treatment.</w:t>
            </w:r>
          </w:p>
          <w:p>
            <w:pPr>
              <w:spacing w:after="60" w:before="0"/>
            </w:pPr>
            <w:r>
              <w:rPr>
                <w:rFonts w:ascii="Arial" w:cs="Arial" w:eastAsia="Arial" w:hAnsi="Arial"/>
                <w:b/>
                <w:bCs/>
                <w:color w:val="1F3864"/>
                <w:sz w:val="19"/>
                <w:szCs w:val="19"/>
              </w:rPr>
              <w:t xml:space="preserve">Renal (CKD G3b / eGFR ~43) Suitability:  </w:t>
            </w:r>
            <w:r>
              <w:rPr>
                <w:rFonts w:ascii="Arial" w:cs="Arial" w:eastAsia="Arial" w:hAnsi="Arial"/>
                <w:sz w:val="19"/>
                <w:szCs w:val="19"/>
              </w:rPr>
              <w:t xml:space="preserve">Selinexor requires NO dose adjustment in any level of renal impairment (mild, moderate, or severe). Bortezomib requires no adjustment. This makes XVd one of the most renally safe triplet regimens available. Common side effects: nausea, fatigue, thrombocytopenia, hyponatraemia — manageable with supportive care and dose modifications.</w:t>
            </w:r>
          </w:p>
          <w:p>
            <w:pPr>
              <w:spacing w:after="60" w:before="0"/>
            </w:pPr>
            <w:r>
              <w:rPr>
                <w:rFonts w:ascii="Arial" w:cs="Arial" w:eastAsia="Arial" w:hAnsi="Arial"/>
                <w:b/>
                <w:bCs/>
                <w:color w:val="1F3864"/>
                <w:sz w:val="19"/>
                <w:szCs w:val="19"/>
              </w:rPr>
              <w:t xml:space="preserve">India Access:  </w:t>
            </w:r>
            <w:r>
              <w:rPr>
                <w:rFonts w:ascii="Arial" w:cs="Arial" w:eastAsia="Arial" w:hAnsi="Arial"/>
                <w:sz w:val="19"/>
                <w:szCs w:val="19"/>
              </w:rPr>
              <w:t xml:space="preserve">Selinexor (Xpovio, Karyopharm) is available in India. XVd is an NCCN Category 1 recommendation after 1–3 prior therapies. Oral selinexor (100 mg weekly) makes this a convenient outpatient regimen compared to IV/SC biologics.</w:t>
            </w:r>
          </w:p>
          <w:p>
            <w:pPr>
              <w:spacing w:after="0" w:before="0"/>
            </w:pPr>
            <w:r>
              <w:rPr>
                <w:rFonts w:ascii="Arial" w:cs="Arial" w:eastAsia="Arial" w:hAnsi="Arial"/>
                <w:b/>
                <w:bCs/>
                <w:color w:val="1F3864"/>
                <w:sz w:val="19"/>
                <w:szCs w:val="19"/>
              </w:rPr>
              <w:t xml:space="preserve">Status for Vipan:  </w:t>
            </w:r>
            <w:r>
              <w:rPr>
                <w:rFonts w:ascii="Arial" w:cs="Arial" w:eastAsia="Arial" w:hAnsi="Arial"/>
                <w:sz w:val="19"/>
                <w:szCs w:val="19"/>
              </w:rPr>
              <w:t xml:space="preserve">Particularly relevant if bortezomib has been discontinued long enough (&gt;6 months) to allow re-sensitization. Also a reasonable bridge therapy while awaiting CAR-T manufacturing or bispecific antibody access. Monitor for thrombocytopenia and hyponatraemia closely.</w:t>
            </w:r>
          </w:p>
        </w:tc>
      </w:tr>
    </w:tbl>
    <w:p>
      <w:pPr>
        <w:spacing w:after="0" w:before="120"/>
      </w:pPr>
    </w:p>
    <w:p>
      <w:pPr>
        <w:pStyle w:val="Heading2"/>
        <w:spacing w:after="80" w:before="200"/>
      </w:pPr>
      <w:r>
        <w:rPr>
          <w:rFonts w:ascii="Arial" w:cs="Arial" w:eastAsia="Arial" w:hAnsi="Arial"/>
          <w:b/>
          <w:bCs/>
          <w:color w:val="2E5F8C"/>
          <w:sz w:val="26"/>
          <w:szCs w:val="26"/>
        </w:rPr>
        <w:t xml:space="preserve">TIER 7 — Mezigdomide (CC-92480) Combinations — Next-Generation CELMoD</w:t>
      </w:r>
    </w:p>
    <w:p>
      <w:pPr>
        <w:pBdr>
          <w:bottom w:val="single" w:color="2E5F8C" w:sz="8" w:space="1"/>
        </w:pBdr>
        <w:spacing w:after="10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8C" w:sz="1"/>
              <w:left w:val="single" w:color="2E5F8C" w:sz="1"/>
              <w:bottom w:val="single" w:color="2E5F8C" w:sz="1"/>
              <w:right w:val="single" w:color="2E5F8C" w:sz="1"/>
            </w:tcBorders>
            <w:shd w:fill="2E5F8C" w:val="clear"/>
            <w:tcMar>
              <w:top w:type="dxa" w:w="100"/>
              <w:left w:type="dxa" w:w="160"/>
              <w:bottom w:type="dxa" w:w="100"/>
              <w:right w:type="dxa" w:w="120"/>
            </w:tcMar>
          </w:tcPr>
          <w:p>
            <w:r>
              <w:rPr>
                <w:rFonts w:ascii="Arial" w:cs="Arial" w:eastAsia="Arial" w:hAnsi="Arial"/>
                <w:b/>
                <w:bCs/>
                <w:color w:val="C9A84C"/>
                <w:sz w:val="20"/>
                <w:szCs w:val="20"/>
              </w:rPr>
              <w:t xml:space="preserve">TIER 7 — EMERGING  </w:t>
            </w:r>
            <w:r>
              <w:rPr>
                <w:rFonts w:ascii="Arial" w:cs="Arial" w:eastAsia="Arial" w:hAnsi="Arial"/>
                <w:b/>
                <w:bCs/>
                <w:color w:val="FFFFFF"/>
                <w:sz w:val="22"/>
                <w:szCs w:val="22"/>
              </w:rPr>
              <w:t xml:space="preserve">Mezigdomide (CC-92480) + Dexamethasone ± Bortezomib or Carfilzomib (MeziVd / MeziKd)</w:t>
            </w:r>
            <w:r>
              <w:rPr>
                <w:rFonts w:ascii="Arial" w:cs="Arial" w:eastAsia="Arial" w:hAnsi="Arial"/>
                <w:b/>
                <w:bCs/>
                <w:color w:val="C9A84C"/>
                <w:sz w:val="18"/>
                <w:szCs w:val="18"/>
              </w:rPr>
              <w:t xml:space="preserve"/>
            </w:r>
          </w:p>
        </w:tc>
      </w:tr>
      <w:tr>
        <w:tc>
          <w:tcPr>
            <w:tcW w:type="dxa" w:w="9360"/>
            <w:tcBorders>
              <w:top w:val="single" w:color="D9D9D9" w:sz="1"/>
              <w:left w:val="single" w:color="D9D9D9" w:sz="1"/>
              <w:bottom w:val="single" w:color="D9D9D9" w:sz="1"/>
              <w:right w:val="single" w:color="D9D9D9" w:sz="1"/>
            </w:tcBorders>
            <w:shd w:fill="F2F2F2" w:val="clear"/>
            <w:tcMar>
              <w:top w:type="dxa" w:w="100"/>
              <w:left w:type="dxa" w:w="160"/>
              <w:bottom w:type="dxa" w:w="100"/>
              <w:right w:type="dxa" w:w="120"/>
            </w:tcMar>
          </w:tcPr>
          <w:p>
            <w:pPr>
              <w:spacing w:after="60" w:before="0"/>
            </w:pPr>
            <w:r>
              <w:rPr>
                <w:rFonts w:ascii="Arial" w:cs="Arial" w:eastAsia="Arial" w:hAnsi="Arial"/>
                <w:b/>
                <w:bCs/>
                <w:color w:val="1F3864"/>
                <w:sz w:val="19"/>
                <w:szCs w:val="19"/>
              </w:rPr>
              <w:t xml:space="preserve">Mechanism:  </w:t>
            </w:r>
            <w:r>
              <w:rPr>
                <w:rFonts w:ascii="Arial" w:cs="Arial" w:eastAsia="Arial" w:hAnsi="Arial"/>
                <w:sz w:val="19"/>
                <w:szCs w:val="19"/>
              </w:rPr>
              <w:t xml:space="preserve">Mezigdomide is a next-generation Cereblon E3 Ligase Modulator (CELMoD) with enhanced tumoricidal and immunomodulatory activity compared to lenalidomide and pomalidomide. It degrades Ikaros/Aiolos transcription factors more potently and retains activity in IMiD-refractory disease.</w:t>
            </w:r>
          </w:p>
          <w:p>
            <w:pPr>
              <w:spacing w:after="60" w:before="0"/>
            </w:pPr>
            <w:r>
              <w:rPr>
                <w:rFonts w:ascii="Arial" w:cs="Arial" w:eastAsia="Arial" w:hAnsi="Arial"/>
                <w:b/>
                <w:bCs/>
                <w:color w:val="1F3864"/>
                <w:sz w:val="19"/>
                <w:szCs w:val="19"/>
              </w:rPr>
              <w:t xml:space="preserve">Key Trial Data:  </w:t>
            </w:r>
            <w:r>
              <w:rPr>
                <w:rFonts w:ascii="Arial" w:cs="Arial" w:eastAsia="Arial" w:hAnsi="Arial"/>
                <w:sz w:val="19"/>
                <w:szCs w:val="19"/>
              </w:rPr>
              <w:t xml:space="preserve">CC-92480-MM-001 (Phase 1/2, NEJM 2024): Mezigdomide + Dex showed ORR 40% in heavily pre-treated RRMM including pomalidomide-refractory patients — a major advance. CC-92480-MM-002: MeziVd showed median PFS 12.3 months in dose-escalation cohort A. CRITICAL NEW DATA (March 2026): Phase 3 trial of MeziKd (mezigdomide + carfilzomib + dex) met its primary endpoint of PFS improvement vs Kd alone — first Phase 3 CELMoD success. MeziVd is likely to be more renally appropriate for Vipan given carfilzomib concerns.</w:t>
            </w:r>
          </w:p>
          <w:p>
            <w:pPr>
              <w:spacing w:after="60" w:before="0"/>
            </w:pPr>
            <w:r>
              <w:rPr>
                <w:rFonts w:ascii="Arial" w:cs="Arial" w:eastAsia="Arial" w:hAnsi="Arial"/>
                <w:b/>
                <w:bCs/>
                <w:color w:val="1F3864"/>
                <w:sz w:val="19"/>
                <w:szCs w:val="19"/>
              </w:rPr>
              <w:t xml:space="preserve">Renal (CKD G3b / eGFR ~43) Suitability:  </w:t>
            </w:r>
            <w:r>
              <w:rPr>
                <w:rFonts w:ascii="Arial" w:cs="Arial" w:eastAsia="Arial" w:hAnsi="Arial"/>
                <w:sz w:val="19"/>
                <w:szCs w:val="19"/>
              </w:rPr>
              <w:t xml:space="preserve">Mezigdomide itself does not require renal dose adjustment based on available data. For MeziVd: bortezomib has no renal adjustment needed. For MeziKd: carfilzomib raises concerns at eGFR ~43 and should be avoided or used with extreme caution. MeziVd (mezigdomide + bortezomib + dex) is the preferred combination for Vipan.</w:t>
            </w:r>
          </w:p>
          <w:p>
            <w:pPr>
              <w:spacing w:after="60" w:before="0"/>
            </w:pPr>
            <w:r>
              <w:rPr>
                <w:rFonts w:ascii="Arial" w:cs="Arial" w:eastAsia="Arial" w:hAnsi="Arial"/>
                <w:b/>
                <w:bCs/>
                <w:color w:val="1F3864"/>
                <w:sz w:val="19"/>
                <w:szCs w:val="19"/>
              </w:rPr>
              <w:t xml:space="preserve">India Access:  </w:t>
            </w:r>
            <w:r>
              <w:rPr>
                <w:rFonts w:ascii="Arial" w:cs="Arial" w:eastAsia="Arial" w:hAnsi="Arial"/>
                <w:sz w:val="19"/>
                <w:szCs w:val="19"/>
              </w:rPr>
              <w:t xml:space="preserve">Not yet commercially approved (anticipated 2026–2027 approval). Clinical trials are the primary access pathway. MM-002 trial (NCT05552976) and successor studies are active. Phase 3 trial of MeziVd for pomalidomide-refractory RRMM ongoing. Patients should enquire about trial enrolment at Tata Memorial, AIIMS, or international centres.</w:t>
            </w:r>
          </w:p>
          <w:p>
            <w:pPr>
              <w:spacing w:after="0" w:before="0"/>
            </w:pPr>
            <w:r>
              <w:rPr>
                <w:rFonts w:ascii="Arial" w:cs="Arial" w:eastAsia="Arial" w:hAnsi="Arial"/>
                <w:b/>
                <w:bCs/>
                <w:color w:val="1F3864"/>
                <w:sz w:val="19"/>
                <w:szCs w:val="19"/>
              </w:rPr>
              <w:t xml:space="preserve">Status for Vipan:  </w:t>
            </w:r>
            <w:r>
              <w:rPr>
                <w:rFonts w:ascii="Arial" w:cs="Arial" w:eastAsia="Arial" w:hAnsi="Arial"/>
                <w:sz w:val="19"/>
                <w:szCs w:val="19"/>
              </w:rPr>
              <w:t xml:space="preserve">Important future option — particularly relevant because mezigdomide retains activity in pomalidomide-refractory disease. Vipan is lenalidomide-intolerant and the disease has now been exposed to 3+ years of IMiD-class agents — mezigdomide may overcome this acquired resistance. Clinical trial enrolment strongly encouraged.</w:t>
            </w:r>
          </w:p>
        </w:tc>
      </w:tr>
    </w:tbl>
    <w:p>
      <w:pPr>
        <w:spacing w:after="0" w:before="120"/>
      </w:pPr>
    </w:p>
    <w:p>
      <w:pPr>
        <w:pStyle w:val="Heading2"/>
        <w:spacing w:after="80" w:before="200"/>
      </w:pPr>
      <w:r>
        <w:rPr>
          <w:rFonts w:ascii="Arial" w:cs="Arial" w:eastAsia="Arial" w:hAnsi="Arial"/>
          <w:b/>
          <w:bCs/>
          <w:color w:val="2E5F8C"/>
          <w:sz w:val="26"/>
          <w:szCs w:val="26"/>
        </w:rPr>
        <w:t xml:space="preserve">TIER 8 — Linvoseltamab (Lynozyfic™) — Fourth Bispecific Antibody</w:t>
      </w:r>
    </w:p>
    <w:p>
      <w:pPr>
        <w:pBdr>
          <w:bottom w:val="single" w:color="2E5F8C" w:sz="8" w:space="1"/>
        </w:pBdr>
        <w:spacing w:after="10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8C" w:sz="1"/>
              <w:left w:val="single" w:color="2E5F8C" w:sz="1"/>
              <w:bottom w:val="single" w:color="2E5F8C" w:sz="1"/>
              <w:right w:val="single" w:color="2E5F8C" w:sz="1"/>
            </w:tcBorders>
            <w:shd w:fill="2E5F8C" w:val="clear"/>
            <w:tcMar>
              <w:top w:type="dxa" w:w="100"/>
              <w:left w:type="dxa" w:w="160"/>
              <w:bottom w:type="dxa" w:w="100"/>
              <w:right w:type="dxa" w:w="120"/>
            </w:tcMar>
          </w:tcPr>
          <w:p>
            <w:r>
              <w:rPr>
                <w:rFonts w:ascii="Arial" w:cs="Arial" w:eastAsia="Arial" w:hAnsi="Arial"/>
                <w:b/>
                <w:bCs/>
                <w:color w:val="C9A84C"/>
                <w:sz w:val="20"/>
                <w:szCs w:val="20"/>
              </w:rPr>
              <w:t xml:space="preserve">TIER 8  </w:t>
            </w:r>
            <w:r>
              <w:rPr>
                <w:rFonts w:ascii="Arial" w:cs="Arial" w:eastAsia="Arial" w:hAnsi="Arial"/>
                <w:b/>
                <w:bCs/>
                <w:color w:val="FFFFFF"/>
                <w:sz w:val="22"/>
                <w:szCs w:val="22"/>
              </w:rPr>
              <w:t xml:space="preserve">Linvoseltamab (Lynozyfic™, REGN5458) — BCMA×CD3 Bispecific</w:t>
            </w:r>
            <w:r>
              <w:rPr>
                <w:rFonts w:ascii="Arial" w:cs="Arial" w:eastAsia="Arial" w:hAnsi="Arial"/>
                <w:b/>
                <w:bCs/>
                <w:color w:val="C9A84C"/>
                <w:sz w:val="18"/>
                <w:szCs w:val="18"/>
              </w:rPr>
              <w:t xml:space="preserve"/>
            </w:r>
          </w:p>
        </w:tc>
      </w:tr>
      <w:tr>
        <w:tc>
          <w:tcPr>
            <w:tcW w:type="dxa" w:w="9360"/>
            <w:tcBorders>
              <w:top w:val="single" w:color="D9D9D9" w:sz="1"/>
              <w:left w:val="single" w:color="D9D9D9" w:sz="1"/>
              <w:bottom w:val="single" w:color="D9D9D9" w:sz="1"/>
              <w:right w:val="single" w:color="D9D9D9" w:sz="1"/>
            </w:tcBorders>
            <w:shd w:fill="F2F2F2" w:val="clear"/>
            <w:tcMar>
              <w:top w:type="dxa" w:w="100"/>
              <w:left w:type="dxa" w:w="160"/>
              <w:bottom w:type="dxa" w:w="100"/>
              <w:right w:type="dxa" w:w="120"/>
            </w:tcMar>
          </w:tcPr>
          <w:p>
            <w:pPr>
              <w:spacing w:after="60" w:before="0"/>
            </w:pPr>
            <w:r>
              <w:rPr>
                <w:rFonts w:ascii="Arial" w:cs="Arial" w:eastAsia="Arial" w:hAnsi="Arial"/>
                <w:b/>
                <w:bCs/>
                <w:color w:val="1F3864"/>
                <w:sz w:val="19"/>
                <w:szCs w:val="19"/>
              </w:rPr>
              <w:t xml:space="preserve">Mechanism:  </w:t>
            </w:r>
            <w:r>
              <w:rPr>
                <w:rFonts w:ascii="Arial" w:cs="Arial" w:eastAsia="Arial" w:hAnsi="Arial"/>
                <w:sz w:val="19"/>
                <w:szCs w:val="19"/>
              </w:rPr>
              <w:t xml:space="preserve">Fourth FDA-approved bispecific antibody for RRMM (accelerated approval July 2025). BCMA×CD3 mechanism similar to teclistamab and elranatamab, but a distinct molecular construct from Regeneron/Sanofi.</w:t>
            </w:r>
          </w:p>
          <w:p>
            <w:pPr>
              <w:spacing w:after="60" w:before="0"/>
            </w:pPr>
            <w:r>
              <w:rPr>
                <w:rFonts w:ascii="Arial" w:cs="Arial" w:eastAsia="Arial" w:hAnsi="Arial"/>
                <w:b/>
                <w:bCs/>
                <w:color w:val="1F3864"/>
                <w:sz w:val="19"/>
                <w:szCs w:val="19"/>
              </w:rPr>
              <w:t xml:space="preserve">Key Trial Data:  </w:t>
            </w:r>
            <w:r>
              <w:rPr>
                <w:rFonts w:ascii="Arial" w:cs="Arial" w:eastAsia="Arial" w:hAnsi="Arial"/>
                <w:sz w:val="19"/>
                <w:szCs w:val="19"/>
              </w:rPr>
              <w:t xml:space="preserve">LINKER-MM1 (Phase 1/2): ORR 71%; CR/sCR 52%; median duration of response 29.4 months at cut-off — the deepest response among approved bispecifics. Phase 3 confirmatory LINKER-MM3 trial (vs EPd) ongoing with results anticipated 2026. Initial data showed a notably high sCR rate of 52% compared to ~39% for teclistamab.</w:t>
            </w:r>
          </w:p>
          <w:p>
            <w:pPr>
              <w:spacing w:after="60" w:before="0"/>
            </w:pPr>
            <w:r>
              <w:rPr>
                <w:rFonts w:ascii="Arial" w:cs="Arial" w:eastAsia="Arial" w:hAnsi="Arial"/>
                <w:b/>
                <w:bCs/>
                <w:color w:val="1F3864"/>
                <w:sz w:val="19"/>
                <w:szCs w:val="19"/>
              </w:rPr>
              <w:t xml:space="preserve">Renal (CKD G3b / eGFR ~43) Suitability:  </w:t>
            </w:r>
            <w:r>
              <w:rPr>
                <w:rFonts w:ascii="Arial" w:cs="Arial" w:eastAsia="Arial" w:hAnsi="Arial"/>
                <w:sz w:val="19"/>
                <w:szCs w:val="19"/>
              </w:rPr>
              <w:t xml:space="preserve">No formal renal impairment subgroup published at time of this report. No known renal-specific dose adjustment. CRS management protocols and infection prophylaxis similar to other bispecifics. Monitoring in CKD as per standard bispecific protocols.</w:t>
            </w:r>
          </w:p>
          <w:p>
            <w:pPr>
              <w:spacing w:after="60" w:before="0"/>
            </w:pPr>
            <w:r>
              <w:rPr>
                <w:rFonts w:ascii="Arial" w:cs="Arial" w:eastAsia="Arial" w:hAnsi="Arial"/>
                <w:b/>
                <w:bCs/>
                <w:color w:val="1F3864"/>
                <w:sz w:val="19"/>
                <w:szCs w:val="19"/>
              </w:rPr>
              <w:t xml:space="preserve">India Access:  </w:t>
            </w:r>
            <w:r>
              <w:rPr>
                <w:rFonts w:ascii="Arial" w:cs="Arial" w:eastAsia="Arial" w:hAnsi="Arial"/>
                <w:sz w:val="19"/>
                <w:szCs w:val="19"/>
              </w:rPr>
              <w:t xml:space="preserve">FDA accelerated approval July 2025 (US). Not yet commercially available in India. Compassionate use pathways through Regeneron being established. May be accessible through international clinical trial participation.</w:t>
            </w:r>
          </w:p>
          <w:p>
            <w:pPr>
              <w:spacing w:after="0" w:before="0"/>
            </w:pPr>
            <w:r>
              <w:rPr>
                <w:rFonts w:ascii="Arial" w:cs="Arial" w:eastAsia="Arial" w:hAnsi="Arial"/>
                <w:b/>
                <w:bCs/>
                <w:color w:val="1F3864"/>
                <w:sz w:val="19"/>
                <w:szCs w:val="19"/>
              </w:rPr>
              <w:t xml:space="preserve">Status for Vipan:  </w:t>
            </w:r>
            <w:r>
              <w:rPr>
                <w:rFonts w:ascii="Arial" w:cs="Arial" w:eastAsia="Arial" w:hAnsi="Arial"/>
                <w:sz w:val="19"/>
                <w:szCs w:val="19"/>
              </w:rPr>
              <w:t xml:space="preserve">Strongest sCR rate (52%) of any approved bispecific. An important option if teclistamab is unavailable, fails, or if a BCMA-bispecific with potentially deeper responses is desired. LINKER-MM3 confirmatory data will be crucial.</w:t>
            </w:r>
          </w:p>
        </w:tc>
      </w:tr>
    </w:tbl>
    <w:p>
      <w:r>
        <w:br w:type="page"/>
      </w:r>
    </w:p>
    <w:p>
      <w:pPr>
        <w:pStyle w:val="Heading1"/>
        <w:spacing w:after="100" w:before="280"/>
      </w:pPr>
      <w:r>
        <w:rPr>
          <w:rFonts w:ascii="Arial" w:cs="Arial" w:eastAsia="Arial" w:hAnsi="Arial"/>
          <w:b/>
          <w:bCs/>
          <w:color w:val="1F3864"/>
          <w:sz w:val="32"/>
          <w:szCs w:val="32"/>
        </w:rPr>
        <w:t xml:space="preserve">5. Urgent Pre-Treatment Workup Recommendations</w:t>
      </w:r>
    </w:p>
    <w:p>
      <w:pPr>
        <w:pBdr>
          <w:bottom w:val="single" w:color="2E5F8C" w:sz="8" w:space="1"/>
        </w:pBdr>
        <w:spacing w:after="100"/>
      </w:pPr>
    </w:p>
    <w:p>
      <w:pPr>
        <w:spacing w:after="80" w:before="60"/>
      </w:pPr>
      <w:r>
        <w:rPr>
          <w:rFonts w:ascii="Arial" w:cs="Arial" w:eastAsia="Arial" w:hAnsi="Arial"/>
          <w:sz w:val="20"/>
          <w:szCs w:val="20"/>
        </w:rPr>
        <w:t xml:space="preserve">Before initiating any salvage therapy, the following workup is considered mandatory or strongly advisable:</w:t>
      </w:r>
    </w:p>
    <w:p>
      <w:pPr>
        <w:pStyle w:val="Heading3"/>
        <w:spacing w:after="60" w:before="160"/>
      </w:pPr>
      <w:r>
        <w:rPr>
          <w:rFonts w:ascii="Arial" w:cs="Arial" w:eastAsia="Arial" w:hAnsi="Arial"/>
          <w:b/>
          <w:bCs/>
          <w:color w:val="1F3864"/>
          <w:sz w:val="22"/>
          <w:szCs w:val="22"/>
        </w:rPr>
        <w:t xml:space="preserve">5.1 Confirm CAR-T History (IMMEDIATE)</w:t>
      </w:r>
    </w:p>
    <w:p>
      <w:pPr>
        <w:pStyle w:val="ListParagraph"/>
        <w:numPr>
          <w:ilvl w:val="0"/>
          <w:numId w:val="2"/>
        </w:numPr>
        <w:spacing w:after="40" w:before="40"/>
      </w:pPr>
      <w:r>
        <w:rPr>
          <w:rFonts w:ascii="Arial" w:cs="Arial" w:eastAsia="Arial" w:hAnsi="Arial"/>
          <w:b/>
          <w:bCs/>
          <w:sz w:val="20"/>
          <w:szCs w:val="20"/>
        </w:rPr>
        <w:t xml:space="preserve">Obtain complete medical records from all treating centres since March 2024 to confirm definitively whether CAR-T leukapheresis, manufacturing, and infusion occurred.</w:t>
      </w:r>
    </w:p>
    <w:p>
      <w:pPr>
        <w:pStyle w:val="ListParagraph"/>
        <w:numPr>
          <w:ilvl w:val="0"/>
          <w:numId w:val="2"/>
        </w:numPr>
        <w:spacing w:after="40" w:before="40"/>
      </w:pPr>
      <w:r>
        <w:rPr>
          <w:rFonts w:ascii="Arial" w:cs="Arial" w:eastAsia="Arial" w:hAnsi="Arial"/>
          <w:b w:val="false"/>
          <w:bCs w:val="false"/>
          <w:sz w:val="20"/>
          <w:szCs w:val="20"/>
        </w:rPr>
        <w:t xml:space="preserve">If CAR-T was NOT given, initiate the leukapheresis referral process immediately — manufacturing timelines for cilta-cel are 4–6 weeks.</w:t>
      </w:r>
    </w:p>
    <w:p>
      <w:pPr>
        <w:pStyle w:val="Heading3"/>
        <w:spacing w:after="60" w:before="160"/>
      </w:pPr>
      <w:r>
        <w:rPr>
          <w:rFonts w:ascii="Arial" w:cs="Arial" w:eastAsia="Arial" w:hAnsi="Arial"/>
          <w:b/>
          <w:bCs/>
          <w:color w:val="1F3864"/>
          <w:sz w:val="22"/>
          <w:szCs w:val="22"/>
        </w:rPr>
        <w:t xml:space="preserve">5.2 Bone Marrow Biopsy with Updated FISH (Within 4 Weeks)</w:t>
      </w:r>
    </w:p>
    <w:p>
      <w:pPr>
        <w:pStyle w:val="ListParagraph"/>
        <w:numPr>
          <w:ilvl w:val="0"/>
          <w:numId w:val="2"/>
        </w:numPr>
        <w:spacing w:after="40" w:before="40"/>
      </w:pPr>
      <w:r>
        <w:rPr>
          <w:rFonts w:ascii="Arial" w:cs="Arial" w:eastAsia="Arial" w:hAnsi="Arial"/>
          <w:b/>
          <w:bCs/>
          <w:sz w:val="20"/>
          <w:szCs w:val="20"/>
        </w:rPr>
        <w:t xml:space="preserve">Repeat bone marrow aspirate and trephine with MRD flow cytometry and updated FISH panel.</w:t>
      </w:r>
    </w:p>
    <w:p>
      <w:pPr>
        <w:pStyle w:val="ListParagraph"/>
        <w:numPr>
          <w:ilvl w:val="0"/>
          <w:numId w:val="2"/>
        </w:numPr>
        <w:spacing w:after="40" w:before="40"/>
      </w:pPr>
      <w:r>
        <w:rPr>
          <w:rFonts w:ascii="Arial" w:cs="Arial" w:eastAsia="Arial" w:hAnsi="Arial"/>
          <w:b w:val="false"/>
          <w:bCs w:val="false"/>
          <w:sz w:val="20"/>
          <w:szCs w:val="20"/>
        </w:rPr>
        <w:t xml:space="preserve">Rationale: Clonal evolution is common at relapse. New high-risk aberrations (especially del17p/TP53, which confers profound resistance) may have emerged since the 2022 FISH. This will change the treatment algorithm.</w:t>
      </w:r>
    </w:p>
    <w:p>
      <w:pPr>
        <w:pStyle w:val="ListParagraph"/>
        <w:numPr>
          <w:ilvl w:val="0"/>
          <w:numId w:val="2"/>
        </w:numPr>
        <w:spacing w:after="40" w:before="40"/>
      </w:pPr>
      <w:r>
        <w:rPr>
          <w:rFonts w:ascii="Arial" w:cs="Arial" w:eastAsia="Arial" w:hAnsi="Arial"/>
          <w:b w:val="false"/>
          <w:bCs w:val="false"/>
          <w:sz w:val="20"/>
          <w:szCs w:val="20"/>
        </w:rPr>
        <w:t xml:space="preserve">Include: del(17p), t(4;14), t(14;16), gain(1q21) copy number quantification (3 copies = gain; 4+ = amplification — different prognosis), del(1p32) biallelic status.</w:t>
      </w:r>
    </w:p>
    <w:p>
      <w:pPr>
        <w:pStyle w:val="Heading3"/>
        <w:spacing w:after="60" w:before="160"/>
      </w:pPr>
      <w:r>
        <w:rPr>
          <w:rFonts w:ascii="Arial" w:cs="Arial" w:eastAsia="Arial" w:hAnsi="Arial"/>
          <w:b/>
          <w:bCs/>
          <w:color w:val="1F3864"/>
          <w:sz w:val="22"/>
          <w:szCs w:val="22"/>
        </w:rPr>
        <w:t xml:space="preserve">5.3 Whole-Body Imaging (Within 4 Weeks)</w:t>
      </w:r>
    </w:p>
    <w:p>
      <w:pPr>
        <w:pStyle w:val="ListParagraph"/>
        <w:numPr>
          <w:ilvl w:val="0"/>
          <w:numId w:val="2"/>
        </w:numPr>
        <w:spacing w:after="40" w:before="40"/>
      </w:pPr>
      <w:r>
        <w:rPr>
          <w:rFonts w:ascii="Arial" w:cs="Arial" w:eastAsia="Arial" w:hAnsi="Arial"/>
          <w:b/>
          <w:bCs/>
          <w:sz w:val="20"/>
          <w:szCs w:val="20"/>
        </w:rPr>
        <w:t xml:space="preserve">Repeat PET/CT or whole-body low-dose CT to map current skeletal disease burden and identify any new extramedullary disease.</w:t>
      </w:r>
    </w:p>
    <w:p>
      <w:pPr>
        <w:pStyle w:val="ListParagraph"/>
        <w:numPr>
          <w:ilvl w:val="0"/>
          <w:numId w:val="2"/>
        </w:numPr>
        <w:spacing w:after="40" w:before="40"/>
      </w:pPr>
      <w:r>
        <w:rPr>
          <w:rFonts w:ascii="Arial" w:cs="Arial" w:eastAsia="Arial" w:hAnsi="Arial"/>
          <w:b w:val="false"/>
          <w:bCs w:val="false"/>
          <w:sz w:val="20"/>
          <w:szCs w:val="20"/>
        </w:rPr>
        <w:t xml:space="preserve">Last imaging was February 2024 — over 2 years ago. Disease progression or new fractures may have occurred silently.</w:t>
      </w:r>
    </w:p>
    <w:p>
      <w:pPr>
        <w:pStyle w:val="Heading3"/>
        <w:spacing w:after="60" w:before="160"/>
      </w:pPr>
      <w:r>
        <w:rPr>
          <w:rFonts w:ascii="Arial" w:cs="Arial" w:eastAsia="Arial" w:hAnsi="Arial"/>
          <w:b/>
          <w:bCs/>
          <w:color w:val="1F3864"/>
          <w:sz w:val="22"/>
          <w:szCs w:val="22"/>
        </w:rPr>
        <w:t xml:space="preserve">5.4 Nephrology Consultation and Renal Optimisation</w:t>
      </w:r>
    </w:p>
    <w:p>
      <w:pPr>
        <w:pStyle w:val="ListParagraph"/>
        <w:numPr>
          <w:ilvl w:val="0"/>
          <w:numId w:val="2"/>
        </w:numPr>
        <w:spacing w:after="40" w:before="40"/>
      </w:pPr>
      <w:r>
        <w:rPr>
          <w:rFonts w:ascii="Arial" w:cs="Arial" w:eastAsia="Arial" w:hAnsi="Arial"/>
          <w:b/>
          <w:bCs/>
          <w:sz w:val="20"/>
          <w:szCs w:val="20"/>
        </w:rPr>
        <w:t xml:space="preserve">Formal nephrology review before any new myeloma therapy.</w:t>
      </w:r>
    </w:p>
    <w:p>
      <w:pPr>
        <w:pStyle w:val="ListParagraph"/>
        <w:numPr>
          <w:ilvl w:val="0"/>
          <w:numId w:val="2"/>
        </w:numPr>
        <w:spacing w:after="40" w:before="40"/>
      </w:pPr>
      <w:r>
        <w:rPr>
          <w:rFonts w:ascii="Arial" w:cs="Arial" w:eastAsia="Arial" w:hAnsi="Arial"/>
          <w:b w:val="false"/>
          <w:bCs w:val="false"/>
          <w:sz w:val="20"/>
          <w:szCs w:val="20"/>
        </w:rPr>
        <w:t xml:space="preserve">Manage hyperkalemia with patiromer (Veltassa) or sodium zirconium cyclosilicate (Lokelma) — K+ of 6.60 mEq/L in March 2025 is dangerous and must be controlled.</w:t>
      </w:r>
    </w:p>
    <w:p>
      <w:pPr>
        <w:pStyle w:val="ListParagraph"/>
        <w:numPr>
          <w:ilvl w:val="0"/>
          <w:numId w:val="2"/>
        </w:numPr>
        <w:spacing w:after="40" w:before="40"/>
      </w:pPr>
      <w:r>
        <w:rPr>
          <w:rFonts w:ascii="Arial" w:cs="Arial" w:eastAsia="Arial" w:hAnsi="Arial"/>
          <w:b w:val="false"/>
          <w:bCs w:val="false"/>
          <w:sz w:val="20"/>
          <w:szCs w:val="20"/>
        </w:rPr>
        <w:t xml:space="preserve">Review telmisartan dosing — ARBs can worsen hyperkalemia. Discuss with nephrologist whether continuation is appropriate or switch to an alternative antihypertensive.</w:t>
      </w:r>
    </w:p>
    <w:p>
      <w:pPr>
        <w:pStyle w:val="ListParagraph"/>
        <w:numPr>
          <w:ilvl w:val="0"/>
          <w:numId w:val="2"/>
        </w:numPr>
        <w:spacing w:after="40" w:before="40"/>
      </w:pPr>
      <w:r>
        <w:rPr>
          <w:rFonts w:ascii="Arial" w:cs="Arial" w:eastAsia="Arial" w:hAnsi="Arial"/>
          <w:b w:val="false"/>
          <w:bCs w:val="false"/>
          <w:sz w:val="20"/>
          <w:szCs w:val="20"/>
        </w:rPr>
        <w:t xml:space="preserve">Ensure adequate hydration protocol before and after any nephrotoxic infusion.</w:t>
      </w:r>
    </w:p>
    <w:p>
      <w:pPr>
        <w:pStyle w:val="Heading3"/>
        <w:spacing w:after="60" w:before="160"/>
      </w:pPr>
      <w:r>
        <w:rPr>
          <w:rFonts w:ascii="Arial" w:cs="Arial" w:eastAsia="Arial" w:hAnsi="Arial"/>
          <w:b/>
          <w:bCs/>
          <w:color w:val="1F3864"/>
          <w:sz w:val="22"/>
          <w:szCs w:val="22"/>
        </w:rPr>
        <w:t xml:space="preserve">5.5 Germline / Hereditary Cancer Testing</w:t>
      </w:r>
    </w:p>
    <w:p>
      <w:pPr>
        <w:pStyle w:val="ListParagraph"/>
        <w:numPr>
          <w:ilvl w:val="0"/>
          <w:numId w:val="2"/>
        </w:numPr>
        <w:spacing w:after="40" w:before="40"/>
      </w:pPr>
      <w:r>
        <w:rPr>
          <w:rFonts w:ascii="Arial" w:cs="Arial" w:eastAsia="Arial" w:hAnsi="Arial"/>
          <w:b/>
          <w:bCs/>
          <w:sz w:val="20"/>
          <w:szCs w:val="20"/>
        </w:rPr>
        <w:t xml:space="preserve">Given the extraordinary family history (mother AND maternal uncle with MM), refer for genetic counselling and germline panel testing.</w:t>
      </w:r>
    </w:p>
    <w:p>
      <w:pPr>
        <w:pStyle w:val="ListParagraph"/>
        <w:numPr>
          <w:ilvl w:val="0"/>
          <w:numId w:val="2"/>
        </w:numPr>
        <w:spacing w:after="40" w:before="40"/>
      </w:pPr>
      <w:r>
        <w:rPr>
          <w:rFonts w:ascii="Arial" w:cs="Arial" w:eastAsia="Arial" w:hAnsi="Arial"/>
          <w:b w:val="false"/>
          <w:bCs w:val="false"/>
          <w:sz w:val="20"/>
          <w:szCs w:val="20"/>
        </w:rPr>
        <w:t xml:space="preserve">Panel should include: BRCA1/2, ATM, CHEK2, CDK4, and myeloma-predisposition gene panel.</w:t>
      </w:r>
    </w:p>
    <w:p>
      <w:pPr>
        <w:pStyle w:val="ListParagraph"/>
        <w:numPr>
          <w:ilvl w:val="0"/>
          <w:numId w:val="2"/>
        </w:numPr>
        <w:spacing w:after="40" w:before="40"/>
      </w:pPr>
      <w:r>
        <w:rPr>
          <w:rFonts w:ascii="Arial" w:cs="Arial" w:eastAsia="Arial" w:hAnsi="Arial"/>
          <w:b w:val="false"/>
          <w:bCs w:val="false"/>
          <w:sz w:val="20"/>
          <w:szCs w:val="20"/>
        </w:rPr>
        <w:t xml:space="preserve">This also has important implications for Vipan's children (including you).</w:t>
      </w:r>
    </w:p>
    <w:p>
      <w:pPr>
        <w:pStyle w:val="Heading3"/>
        <w:spacing w:after="60" w:before="160"/>
      </w:pPr>
      <w:r>
        <w:rPr>
          <w:rFonts w:ascii="Arial" w:cs="Arial" w:eastAsia="Arial" w:hAnsi="Arial"/>
          <w:b/>
          <w:bCs/>
          <w:color w:val="1F3864"/>
          <w:sz w:val="22"/>
          <w:szCs w:val="22"/>
        </w:rPr>
        <w:t xml:space="preserve">5.6 Cardiac Assessment</w:t>
      </w:r>
    </w:p>
    <w:p>
      <w:pPr>
        <w:pStyle w:val="ListParagraph"/>
        <w:numPr>
          <w:ilvl w:val="0"/>
          <w:numId w:val="2"/>
        </w:numPr>
        <w:spacing w:after="40" w:before="40"/>
      </w:pPr>
      <w:r>
        <w:rPr>
          <w:rFonts w:ascii="Arial" w:cs="Arial" w:eastAsia="Arial" w:hAnsi="Arial"/>
          <w:b/>
          <w:bCs/>
          <w:sz w:val="20"/>
          <w:szCs w:val="20"/>
        </w:rPr>
        <w:t xml:space="preserve">Troponin I was elevated at 0.063 during the September 2024 hospitalisation. ECG, echocardiogram, and repeat troponin before initiating any carfilzomib-containing regimen or CAR-T conditioning.</w:t>
      </w:r>
    </w:p>
    <w:p>
      <w:pPr>
        <w:pStyle w:val="Heading3"/>
        <w:spacing w:after="60" w:before="160"/>
      </w:pPr>
      <w:r>
        <w:rPr>
          <w:rFonts w:ascii="Arial" w:cs="Arial" w:eastAsia="Arial" w:hAnsi="Arial"/>
          <w:b/>
          <w:bCs/>
          <w:color w:val="1F3864"/>
          <w:sz w:val="22"/>
          <w:szCs w:val="22"/>
        </w:rPr>
        <w:t xml:space="preserve">5.7 Infectious Disease Baseline</w:t>
      </w:r>
    </w:p>
    <w:p>
      <w:pPr>
        <w:pStyle w:val="ListParagraph"/>
        <w:numPr>
          <w:ilvl w:val="0"/>
          <w:numId w:val="2"/>
        </w:numPr>
        <w:spacing w:after="40" w:before="40"/>
      </w:pPr>
      <w:r>
        <w:rPr>
          <w:rFonts w:ascii="Arial" w:cs="Arial" w:eastAsia="Arial" w:hAnsi="Arial"/>
          <w:b/>
          <w:bCs/>
          <w:sz w:val="20"/>
          <w:szCs w:val="20"/>
        </w:rPr>
        <w:t xml:space="preserve">All bispecific antibody therapies carry a 76% incidence of infection (including a ~30% rate of serious/grade 3+ infections). Baseline: HIV, Hepatitis B/C serology; CMV IgG; quantiferon TB test.</w:t>
      </w:r>
    </w:p>
    <w:p>
      <w:pPr>
        <w:pStyle w:val="ListParagraph"/>
        <w:numPr>
          <w:ilvl w:val="0"/>
          <w:numId w:val="2"/>
        </w:numPr>
        <w:spacing w:after="40" w:before="40"/>
      </w:pPr>
      <w:r>
        <w:rPr>
          <w:rFonts w:ascii="Arial" w:cs="Arial" w:eastAsia="Arial" w:hAnsi="Arial"/>
          <w:b w:val="false"/>
          <w:bCs w:val="false"/>
          <w:sz w:val="20"/>
          <w:szCs w:val="20"/>
        </w:rPr>
        <w:t xml:space="preserve">Vaccination update (pneumococcus, influenza, herpes zoster) before T-cell engaging therapy where possible.</w:t>
      </w:r>
    </w:p>
    <w:p>
      <w:pPr>
        <w:pStyle w:val="ListParagraph"/>
        <w:numPr>
          <w:ilvl w:val="0"/>
          <w:numId w:val="2"/>
        </w:numPr>
        <w:spacing w:after="40" w:before="40"/>
      </w:pPr>
      <w:r>
        <w:rPr>
          <w:rFonts w:ascii="Arial" w:cs="Arial" w:eastAsia="Arial" w:hAnsi="Arial"/>
          <w:b w:val="false"/>
          <w:bCs w:val="false"/>
          <w:sz w:val="20"/>
          <w:szCs w:val="20"/>
        </w:rPr>
        <w:t xml:space="preserve">IVIG replacement planning — all bispecific therapy candidates should have IgG monitored and replacement started when IgG &lt;400 mg/dL.</w:t>
      </w:r>
    </w:p>
    <w:p>
      <w:r>
        <w:br w:type="page"/>
      </w:r>
    </w:p>
    <w:p>
      <w:pPr>
        <w:pStyle w:val="Heading1"/>
        <w:spacing w:after="100" w:before="280"/>
      </w:pPr>
      <w:r>
        <w:rPr>
          <w:rFonts w:ascii="Arial" w:cs="Arial" w:eastAsia="Arial" w:hAnsi="Arial"/>
          <w:b/>
          <w:bCs/>
          <w:color w:val="1F3864"/>
          <w:sz w:val="32"/>
          <w:szCs w:val="32"/>
        </w:rPr>
        <w:t xml:space="preserve">6. Recommended Treatment Sequencing Strategy</w:t>
      </w:r>
    </w:p>
    <w:p>
      <w:pPr>
        <w:pBdr>
          <w:bottom w:val="single" w:color="2E5F8C" w:sz="8" w:space="1"/>
        </w:pBdr>
        <w:spacing w:after="100"/>
      </w:pPr>
    </w:p>
    <w:p>
      <w:pPr>
        <w:pStyle w:val="Heading2"/>
        <w:spacing w:after="80" w:before="200"/>
      </w:pPr>
      <w:r>
        <w:rPr>
          <w:rFonts w:ascii="Arial" w:cs="Arial" w:eastAsia="Arial" w:hAnsi="Arial"/>
          <w:b/>
          <w:bCs/>
          <w:color w:val="2E5F8C"/>
          <w:sz w:val="26"/>
          <w:szCs w:val="26"/>
        </w:rPr>
        <w:t xml:space="preserve">6.1 Pathway A — CAR-T Has NOT Been Given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80"/>
            </w:tcMar>
            <w:vAlign w:val="center"/>
          </w:tcPr>
          <w:p>
            <w:r>
              <w:rPr>
                <w:rFonts w:ascii="Arial" w:cs="Arial" w:eastAsia="Arial" w:hAnsi="Arial"/>
                <w:b/>
                <w:bCs/>
                <w:color w:val="FFFFFF"/>
                <w:sz w:val="18"/>
                <w:szCs w:val="18"/>
              </w:rPr>
              <w:t xml:space="preserve">Step</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80"/>
            </w:tcMar>
            <w:vAlign w:val="center"/>
          </w:tcPr>
          <w:p>
            <w:r>
              <w:rPr>
                <w:rFonts w:ascii="Arial" w:cs="Arial" w:eastAsia="Arial" w:hAnsi="Arial"/>
                <w:b/>
                <w:bCs/>
                <w:color w:val="FFFFFF"/>
                <w:sz w:val="18"/>
                <w:szCs w:val="18"/>
              </w:rPr>
              <w:t xml:space="preserve">Regimen</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80"/>
            </w:tcMar>
            <w:vAlign w:val="center"/>
          </w:tcPr>
          <w:p>
            <w:r>
              <w:rPr>
                <w:rFonts w:ascii="Arial" w:cs="Arial" w:eastAsia="Arial" w:hAnsi="Arial"/>
                <w:b/>
                <w:bCs/>
                <w:color w:val="FFFFFF"/>
                <w:sz w:val="18"/>
                <w:szCs w:val="18"/>
              </w:rPr>
              <w:t xml:space="preserve">Goal</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80"/>
            </w:tcMar>
            <w:vAlign w:val="center"/>
          </w:tcPr>
          <w:p>
            <w:r>
              <w:rPr>
                <w:rFonts w:ascii="Arial" w:cs="Arial" w:eastAsia="Arial" w:hAnsi="Arial"/>
                <w:b/>
                <w:bCs/>
                <w:color w:val="FFFFFF"/>
                <w:sz w:val="18"/>
                <w:szCs w:val="18"/>
              </w:rPr>
              <w:t xml:space="preserve">Timing</w:t>
            </w:r>
          </w:p>
        </w:tc>
      </w:tr>
      <w:tr>
        <w:tc>
          <w:tcPr>
            <w:tcW w:type="dxa" w:w="234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1 (Bridge, if needed)</w:t>
            </w:r>
          </w:p>
        </w:tc>
        <w:tc>
          <w:tcPr>
            <w:tcW w:type="dxa" w:w="234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IsaPomDex or XVd (selinexor + bortezomib + dex)</w:t>
            </w:r>
          </w:p>
        </w:tc>
        <w:tc>
          <w:tcPr>
            <w:tcW w:type="dxa" w:w="234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Disease control and debulking while awaiting CAR-T manufacturing; also optimise renal/blood counts</w:t>
            </w:r>
          </w:p>
        </w:tc>
        <w:tc>
          <w:tcPr>
            <w:tcW w:type="dxa" w:w="234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Weeks 1–8 (concurrent with CAR-T manufacturing)</w:t>
            </w:r>
          </w:p>
        </w:tc>
      </w:tr>
      <w:tr>
        <w:tc>
          <w:tcPr>
            <w:tcW w:type="dxa" w:w="234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2 (Definitive)</w:t>
            </w:r>
          </w:p>
        </w:tc>
        <w:tc>
          <w:tcPr>
            <w:tcW w:type="dxa" w:w="234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Cilta-cel (Carvykti) CAR-T infusion</w:t>
            </w:r>
          </w:p>
        </w:tc>
        <w:tc>
          <w:tcPr>
            <w:tcW w:type="dxa" w:w="234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Deep/complete remission; potential cure fraction in standard-risk patients</w:t>
            </w:r>
          </w:p>
        </w:tc>
        <w:tc>
          <w:tcPr>
            <w:tcW w:type="dxa" w:w="234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Week 8–12 (after manufacturing)</w:t>
            </w:r>
          </w:p>
        </w:tc>
      </w:tr>
      <w:tr>
        <w:tc>
          <w:tcPr>
            <w:tcW w:type="dxa" w:w="234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3 (Post-CAR-T monitoring)</w:t>
            </w:r>
          </w:p>
        </w:tc>
        <w:tc>
          <w:tcPr>
            <w:tcW w:type="dxa" w:w="234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Close monitoring; no maintenance until progression</w:t>
            </w:r>
          </w:p>
        </w:tc>
        <w:tc>
          <w:tcPr>
            <w:tcW w:type="dxa" w:w="234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MRD tracking; detect early biochemical relapse</w:t>
            </w:r>
          </w:p>
        </w:tc>
        <w:tc>
          <w:tcPr>
            <w:tcW w:type="dxa" w:w="234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Monthly monitoring for 12–24 months</w:t>
            </w:r>
          </w:p>
        </w:tc>
      </w:tr>
      <w:tr>
        <w:tc>
          <w:tcPr>
            <w:tcW w:type="dxa" w:w="234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4 (At relapse post-CAR-T)</w:t>
            </w:r>
          </w:p>
        </w:tc>
        <w:tc>
          <w:tcPr>
            <w:tcW w:type="dxa" w:w="234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Talquetamab (GPRC5D target — different from BCMA)</w:t>
            </w:r>
          </w:p>
        </w:tc>
        <w:tc>
          <w:tcPr>
            <w:tcW w:type="dxa" w:w="234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Re-engage immune response via non-BCMA pathway</w:t>
            </w:r>
          </w:p>
        </w:tc>
        <w:tc>
          <w:tcPr>
            <w:tcW w:type="dxa" w:w="234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At biochemical or clinical relapse</w:t>
            </w:r>
          </w:p>
        </w:tc>
      </w:tr>
      <w:tr>
        <w:tc>
          <w:tcPr>
            <w:tcW w:type="dxa" w:w="234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5 (Further relapse)</w:t>
            </w:r>
          </w:p>
        </w:tc>
        <w:tc>
          <w:tcPr>
            <w:tcW w:type="dxa" w:w="234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BPd (Belantamab + Pomalidomide + Dex) or Mezigdomide combinations</w:t>
            </w:r>
          </w:p>
        </w:tc>
        <w:tc>
          <w:tcPr>
            <w:tcW w:type="dxa" w:w="234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Sustained disease control</w:t>
            </w:r>
          </w:p>
        </w:tc>
        <w:tc>
          <w:tcPr>
            <w:tcW w:type="dxa" w:w="234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As needed</w:t>
            </w:r>
          </w:p>
        </w:tc>
      </w:tr>
    </w:tbl>
    <w:p>
      <w:pPr>
        <w:spacing w:after="0" w:before="120"/>
      </w:pPr>
    </w:p>
    <w:p>
      <w:pPr>
        <w:pStyle w:val="Heading2"/>
        <w:spacing w:after="80" w:before="200"/>
      </w:pPr>
      <w:r>
        <w:rPr>
          <w:rFonts w:ascii="Arial" w:cs="Arial" w:eastAsia="Arial" w:hAnsi="Arial"/>
          <w:b/>
          <w:bCs/>
          <w:color w:val="2E5F8C"/>
          <w:sz w:val="26"/>
          <w:szCs w:val="26"/>
        </w:rPr>
        <w:t xml:space="preserve">6.2 Pathway B — CAR-T Already Given (or Not Feasible)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80"/>
            </w:tcMar>
            <w:vAlign w:val="center"/>
          </w:tcPr>
          <w:p>
            <w:r>
              <w:rPr>
                <w:rFonts w:ascii="Arial" w:cs="Arial" w:eastAsia="Arial" w:hAnsi="Arial"/>
                <w:b/>
                <w:bCs/>
                <w:color w:val="FFFFFF"/>
                <w:sz w:val="18"/>
                <w:szCs w:val="18"/>
              </w:rPr>
              <w:t xml:space="preserve">Step</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80"/>
            </w:tcMar>
            <w:vAlign w:val="center"/>
          </w:tcPr>
          <w:p>
            <w:r>
              <w:rPr>
                <w:rFonts w:ascii="Arial" w:cs="Arial" w:eastAsia="Arial" w:hAnsi="Arial"/>
                <w:b/>
                <w:bCs/>
                <w:color w:val="FFFFFF"/>
                <w:sz w:val="18"/>
                <w:szCs w:val="18"/>
              </w:rPr>
              <w:t xml:space="preserve">Regimen</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80"/>
            </w:tcMar>
            <w:vAlign w:val="center"/>
          </w:tcPr>
          <w:p>
            <w:r>
              <w:rPr>
                <w:rFonts w:ascii="Arial" w:cs="Arial" w:eastAsia="Arial" w:hAnsi="Arial"/>
                <w:b/>
                <w:bCs/>
                <w:color w:val="FFFFFF"/>
                <w:sz w:val="18"/>
                <w:szCs w:val="18"/>
              </w:rPr>
              <w:t xml:space="preserve">Goal</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80"/>
            </w:tcMar>
            <w:vAlign w:val="center"/>
          </w:tcPr>
          <w:p>
            <w:r>
              <w:rPr>
                <w:rFonts w:ascii="Arial" w:cs="Arial" w:eastAsia="Arial" w:hAnsi="Arial"/>
                <w:b/>
                <w:bCs/>
                <w:color w:val="FFFFFF"/>
                <w:sz w:val="18"/>
                <w:szCs w:val="18"/>
              </w:rPr>
              <w:t xml:space="preserve">Notes</w:t>
            </w:r>
          </w:p>
        </w:tc>
      </w:tr>
      <w:tr>
        <w:tc>
          <w:tcPr>
            <w:tcW w:type="dxa" w:w="234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1 (First salvage)</w:t>
            </w:r>
          </w:p>
        </w:tc>
        <w:tc>
          <w:tcPr>
            <w:tcW w:type="dxa" w:w="234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Teclistamab (BCMA×CD3 bispecific) if CAR-T was not BCMA-targeted; OR Talquetamab (GPRC5D) if BCMA-CAR-T was given</w:t>
            </w:r>
          </w:p>
        </w:tc>
        <w:tc>
          <w:tcPr>
            <w:tcW w:type="dxa" w:w="234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ORR 60–70%; aim for CR/sCR</w:t>
            </w:r>
          </w:p>
        </w:tc>
        <w:tc>
          <w:tcPr>
            <w:tcW w:type="dxa" w:w="234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Confirm BCMA target status of prior CAR-T; avoid sequential BCMA if anti-BCMA CAR-T used &lt; 6 months ago</w:t>
            </w:r>
          </w:p>
        </w:tc>
      </w:tr>
      <w:tr>
        <w:tc>
          <w:tcPr>
            <w:tcW w:type="dxa" w:w="234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2 (Second salvage)</w:t>
            </w:r>
          </w:p>
        </w:tc>
        <w:tc>
          <w:tcPr>
            <w:tcW w:type="dxa" w:w="234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BPd — Belantamab + Pomalidomide + Dex</w:t>
            </w:r>
          </w:p>
        </w:tc>
        <w:tc>
          <w:tcPr>
            <w:tcW w:type="dxa" w:w="234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Median PFS &gt;30 months in DREAMM-8; strong +1q21 subgroup benefit</w:t>
            </w:r>
          </w:p>
        </w:tc>
        <w:tc>
          <w:tcPr>
            <w:tcW w:type="dxa" w:w="234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Requires ophthalmology monitoring every 3–6 weeks</w:t>
            </w:r>
          </w:p>
        </w:tc>
      </w:tr>
      <w:tr>
        <w:tc>
          <w:tcPr>
            <w:tcW w:type="dxa" w:w="234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3 (Third salvage)</w:t>
            </w:r>
          </w:p>
        </w:tc>
        <w:tc>
          <w:tcPr>
            <w:tcW w:type="dxa" w:w="234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IsaPomDex (Isatuximab + Pomalidomide + Dex)</w:t>
            </w:r>
          </w:p>
        </w:tc>
        <w:tc>
          <w:tcPr>
            <w:tcW w:type="dxa" w:w="234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Commercially accessible in India; safe in CKD G3b</w:t>
            </w:r>
          </w:p>
        </w:tc>
        <w:tc>
          <w:tcPr>
            <w:tcW w:type="dxa" w:w="234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Dr. Mehta / Amrita Hospital can initiate</w:t>
            </w:r>
          </w:p>
        </w:tc>
      </w:tr>
      <w:tr>
        <w:tc>
          <w:tcPr>
            <w:tcW w:type="dxa" w:w="234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4 (Fourth salvage)</w:t>
            </w:r>
          </w:p>
        </w:tc>
        <w:tc>
          <w:tcPr>
            <w:tcW w:type="dxa" w:w="234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Mezigdomide (MeziVd) — via clinical trial enrolment</w:t>
            </w:r>
          </w:p>
        </w:tc>
        <w:tc>
          <w:tcPr>
            <w:tcW w:type="dxa" w:w="234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CELMoD activity preserved after IMiD failure</w:t>
            </w:r>
          </w:p>
        </w:tc>
        <w:tc>
          <w:tcPr>
            <w:tcW w:type="dxa" w:w="234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Seek clinical trial access urgently</w:t>
            </w:r>
          </w:p>
        </w:tc>
      </w:tr>
      <w:tr>
        <w:tc>
          <w:tcPr>
            <w:tcW w:type="dxa" w:w="234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5 (Fifth salvage)</w:t>
            </w:r>
          </w:p>
        </w:tc>
        <w:tc>
          <w:tcPr>
            <w:tcW w:type="dxa" w:w="234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Linvoseltamab or combination bispecific strategies</w:t>
            </w:r>
          </w:p>
        </w:tc>
        <w:tc>
          <w:tcPr>
            <w:tcW w:type="dxa" w:w="234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Deep response with 52% sCR rate</w:t>
            </w:r>
          </w:p>
        </w:tc>
        <w:tc>
          <w:tcPr>
            <w:tcW w:type="dxa" w:w="234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Confirm India access pathways</w:t>
            </w:r>
          </w:p>
        </w:tc>
      </w:tr>
    </w:tbl>
    <w:p>
      <w:r>
        <w:br w:type="page"/>
      </w:r>
    </w:p>
    <w:p>
      <w:pPr>
        <w:pStyle w:val="Heading1"/>
        <w:spacing w:after="100" w:before="280"/>
      </w:pPr>
      <w:r>
        <w:rPr>
          <w:rFonts w:ascii="Arial" w:cs="Arial" w:eastAsia="Arial" w:hAnsi="Arial"/>
          <w:b/>
          <w:bCs/>
          <w:color w:val="1F3864"/>
          <w:sz w:val="32"/>
          <w:szCs w:val="32"/>
        </w:rPr>
        <w:t xml:space="preserve">7. India-Specific Access &amp; Recommended Centres</w:t>
      </w:r>
    </w:p>
    <w:p>
      <w:pPr>
        <w:pBdr>
          <w:bottom w:val="single" w:color="2E5F8C" w:sz="8" w:space="1"/>
        </w:pBd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80"/>
            </w:tcMar>
            <w:vAlign w:val="center"/>
          </w:tcPr>
          <w:p>
            <w:r>
              <w:rPr>
                <w:rFonts w:ascii="Arial" w:cs="Arial" w:eastAsia="Arial" w:hAnsi="Arial"/>
                <w:b/>
                <w:bCs/>
                <w:color w:val="FFFFFF"/>
                <w:sz w:val="18"/>
                <w:szCs w:val="18"/>
              </w:rPr>
              <w:t xml:space="preserve">Drug / Therapy</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80"/>
            </w:tcMar>
            <w:vAlign w:val="center"/>
          </w:tcPr>
          <w:p>
            <w:r>
              <w:rPr>
                <w:rFonts w:ascii="Arial" w:cs="Arial" w:eastAsia="Arial" w:hAnsi="Arial"/>
                <w:b/>
                <w:bCs/>
                <w:color w:val="FFFFFF"/>
                <w:sz w:val="18"/>
                <w:szCs w:val="18"/>
              </w:rPr>
              <w:t xml:space="preserve">Approval Status</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80"/>
            </w:tcMar>
            <w:vAlign w:val="center"/>
          </w:tcPr>
          <w:p>
            <w:r>
              <w:rPr>
                <w:rFonts w:ascii="Arial" w:cs="Arial" w:eastAsia="Arial" w:hAnsi="Arial"/>
                <w:b/>
                <w:bCs/>
                <w:color w:val="FFFFFF"/>
                <w:sz w:val="18"/>
                <w:szCs w:val="18"/>
              </w:rPr>
              <w:t xml:space="preserve">India Access</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80"/>
            </w:tcMar>
            <w:vAlign w:val="center"/>
          </w:tcPr>
          <w:p>
            <w:r>
              <w:rPr>
                <w:rFonts w:ascii="Arial" w:cs="Arial" w:eastAsia="Arial" w:hAnsi="Arial"/>
                <w:b/>
                <w:bCs/>
                <w:color w:val="FFFFFF"/>
                <w:sz w:val="18"/>
                <w:szCs w:val="18"/>
              </w:rPr>
              <w:t xml:space="preserve">Recommended Action</w:t>
            </w:r>
          </w:p>
        </w:tc>
      </w:tr>
      <w:tr>
        <w:tc>
          <w:tcPr>
            <w:tcW w:type="dxa" w:w="234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Cilta-cel (Carvykti)</w:t>
            </w:r>
          </w:p>
        </w:tc>
        <w:tc>
          <w:tcPr>
            <w:tcW w:type="dxa" w:w="234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FDA/EMA approved</w:t>
            </w:r>
          </w:p>
        </w:tc>
        <w:tc>
          <w:tcPr>
            <w:tcW w:type="dxa" w:w="234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Limited — Tata Memorial, CMC Vellore, AIIMS. Academic CAR-T programs expanding.</w:t>
            </w:r>
          </w:p>
        </w:tc>
        <w:tc>
          <w:tcPr>
            <w:tcW w:type="dxa" w:w="234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Contact J&amp;J/Janssen India for compassionate use; approach CMC Vellore or Tata Memorial directly.</w:t>
            </w:r>
          </w:p>
        </w:tc>
      </w:tr>
      <w:tr>
        <w:tc>
          <w:tcPr>
            <w:tcW w:type="dxa" w:w="234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Teclistamab (Tecvayli)</w:t>
            </w:r>
          </w:p>
        </w:tc>
        <w:tc>
          <w:tcPr>
            <w:tcW w:type="dxa" w:w="234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FDA/EMA approved</w:t>
            </w:r>
          </w:p>
        </w:tc>
        <w:tc>
          <w:tcPr>
            <w:tcW w:type="dxa" w:w="234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Named patient program via Janssen India. Not yet CDSCO-registered.</w:t>
            </w:r>
          </w:p>
        </w:tc>
        <w:tc>
          <w:tcPr>
            <w:tcW w:type="dxa" w:w="234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Apply for named patient program; contact Janssen India Medical Affairs.</w:t>
            </w:r>
          </w:p>
        </w:tc>
      </w:tr>
      <w:tr>
        <w:tc>
          <w:tcPr>
            <w:tcW w:type="dxa" w:w="234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Talquetamab (Talvey)</w:t>
            </w:r>
          </w:p>
        </w:tc>
        <w:tc>
          <w:tcPr>
            <w:tcW w:type="dxa" w:w="234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FDA/EMA approved</w:t>
            </w:r>
          </w:p>
        </w:tc>
        <w:tc>
          <w:tcPr>
            <w:tcW w:type="dxa" w:w="234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Named patient / compassionate use via J&amp;J India.</w:t>
            </w:r>
          </w:p>
        </w:tc>
        <w:tc>
          <w:tcPr>
            <w:tcW w:type="dxa" w:w="234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Same contact pathway as teclistamab.</w:t>
            </w:r>
          </w:p>
        </w:tc>
      </w:tr>
      <w:tr>
        <w:tc>
          <w:tcPr>
            <w:tcW w:type="dxa" w:w="234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Belantamab mafodotin (Blenrep)</w:t>
            </w:r>
          </w:p>
        </w:tc>
        <w:tc>
          <w:tcPr>
            <w:tcW w:type="dxa" w:w="234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Re-approved post-DREAMM-7/8 (FDA/EMA)</w:t>
            </w:r>
          </w:p>
        </w:tc>
        <w:tc>
          <w:tcPr>
            <w:tcW w:type="dxa" w:w="234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GSK India compassionate use program. Monitor CDSCO re-registration.</w:t>
            </w:r>
          </w:p>
        </w:tc>
        <w:tc>
          <w:tcPr>
            <w:tcW w:type="dxa" w:w="234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Contact GSK India Medical Affairs; confirm ophthalmology monitoring availability at local centre.</w:t>
            </w:r>
          </w:p>
        </w:tc>
      </w:tr>
      <w:tr>
        <w:tc>
          <w:tcPr>
            <w:tcW w:type="dxa" w:w="234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Isatuximab (Sarclisa)</w:t>
            </w:r>
          </w:p>
        </w:tc>
        <w:tc>
          <w:tcPr>
            <w:tcW w:type="dxa" w:w="234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CDSCO approved in India</w:t>
            </w:r>
          </w:p>
        </w:tc>
        <w:tc>
          <w:tcPr>
            <w:tcW w:type="dxa" w:w="234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Commercially available in India (Sanofi). Most accessible advanced option.</w:t>
            </w:r>
          </w:p>
        </w:tc>
        <w:tc>
          <w:tcPr>
            <w:tcW w:type="dxa" w:w="234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Can be initiated at Amrita Hospital with Dr. Prashant Mehta now.</w:t>
            </w:r>
          </w:p>
        </w:tc>
      </w:tr>
      <w:tr>
        <w:tc>
          <w:tcPr>
            <w:tcW w:type="dxa" w:w="234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Selinexor (Xpovio)</w:t>
            </w:r>
          </w:p>
        </w:tc>
        <w:tc>
          <w:tcPr>
            <w:tcW w:type="dxa" w:w="234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Commercially available in India</w:t>
            </w:r>
          </w:p>
        </w:tc>
        <w:tc>
          <w:tcPr>
            <w:tcW w:type="dxa" w:w="234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Karyopharm / local distributors.</w:t>
            </w:r>
          </w:p>
        </w:tc>
        <w:tc>
          <w:tcPr>
            <w:tcW w:type="dxa" w:w="234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Oral agent — can be initiated at any major oncology centre.</w:t>
            </w:r>
          </w:p>
        </w:tc>
      </w:tr>
      <w:tr>
        <w:tc>
          <w:tcPr>
            <w:tcW w:type="dxa" w:w="234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Pomalidomide</w:t>
            </w:r>
          </w:p>
        </w:tc>
        <w:tc>
          <w:tcPr>
            <w:tcW w:type="dxa" w:w="234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Generic available in India</w:t>
            </w:r>
          </w:p>
        </w:tc>
        <w:tc>
          <w:tcPr>
            <w:tcW w:type="dxa" w:w="234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Multiple Indian generic manufacturers. Cost-effective.</w:t>
            </w:r>
          </w:p>
        </w:tc>
        <w:tc>
          <w:tcPr>
            <w:tcW w:type="dxa" w:w="234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Widely available; cornerstone of multiple combinations.</w:t>
            </w:r>
          </w:p>
        </w:tc>
      </w:tr>
      <w:tr>
        <w:tc>
          <w:tcPr>
            <w:tcW w:type="dxa" w:w="234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Mezigdomide</w:t>
            </w:r>
          </w:p>
        </w:tc>
        <w:tc>
          <w:tcPr>
            <w:tcW w:type="dxa" w:w="234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Phase 3 (not yet approved)</w:t>
            </w:r>
          </w:p>
        </w:tc>
        <w:tc>
          <w:tcPr>
            <w:tcW w:type="dxa" w:w="234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Clinical trial access only. NCT05552976 and successor studies.</w:t>
            </w:r>
          </w:p>
        </w:tc>
        <w:tc>
          <w:tcPr>
            <w:tcW w:type="dxa" w:w="234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Monitor clinicaltrials.gov; consider international trial travel if feasible.</w:t>
            </w:r>
          </w:p>
        </w:tc>
      </w:tr>
      <w:tr>
        <w:tc>
          <w:tcPr>
            <w:tcW w:type="dxa" w:w="234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Linvoseltamab (Lynozyfic)</w:t>
            </w:r>
          </w:p>
        </w:tc>
        <w:tc>
          <w:tcPr>
            <w:tcW w:type="dxa" w:w="234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FDA accelerated approval July 2025</w:t>
            </w:r>
          </w:p>
        </w:tc>
        <w:tc>
          <w:tcPr>
            <w:tcW w:type="dxa" w:w="234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Not yet available in India. Compassionate use being established.</w:t>
            </w:r>
          </w:p>
        </w:tc>
        <w:tc>
          <w:tcPr>
            <w:tcW w:type="dxa" w:w="234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Monitor Regeneron/Sanofi India for named patient access.</w:t>
            </w:r>
          </w:p>
        </w:tc>
      </w:tr>
    </w:tbl>
    <w:p>
      <w:pPr>
        <w:spacing w:after="0" w:before="120"/>
      </w:pPr>
    </w:p>
    <w:p>
      <w:pPr>
        <w:pStyle w:val="Heading2"/>
        <w:spacing w:after="80" w:before="200"/>
      </w:pPr>
      <w:r>
        <w:rPr>
          <w:rFonts w:ascii="Arial" w:cs="Arial" w:eastAsia="Arial" w:hAnsi="Arial"/>
          <w:b/>
          <w:bCs/>
          <w:color w:val="2E5F8C"/>
          <w:sz w:val="26"/>
          <w:szCs w:val="26"/>
        </w:rPr>
        <w:t xml:space="preserve">7.1 Recommended Treating Centres in India</w:t>
      </w:r>
    </w:p>
    <w:p>
      <w:pPr>
        <w:pStyle w:val="ListParagraph"/>
        <w:numPr>
          <w:ilvl w:val="0"/>
          <w:numId w:val="2"/>
        </w:numPr>
        <w:spacing w:after="40" w:before="40"/>
      </w:pPr>
      <w:r>
        <w:rPr>
          <w:rFonts w:ascii="Arial" w:cs="Arial" w:eastAsia="Arial" w:hAnsi="Arial"/>
          <w:b w:val="false"/>
          <w:bCs w:val="false"/>
          <w:sz w:val="20"/>
          <w:szCs w:val="20"/>
        </w:rPr>
        <w:t xml:space="preserve">Amrita Institute of Medical Sciences, Kochi — Dr. Prashant Mehta (already listed as consultant). Strong haematology programme; isatuximab and belantamab protocols available.</w:t>
      </w:r>
    </w:p>
    <w:p>
      <w:pPr>
        <w:pStyle w:val="ListParagraph"/>
        <w:numPr>
          <w:ilvl w:val="0"/>
          <w:numId w:val="2"/>
        </w:numPr>
        <w:spacing w:after="40" w:before="40"/>
      </w:pPr>
      <w:r>
        <w:rPr>
          <w:rFonts w:ascii="Arial" w:cs="Arial" w:eastAsia="Arial" w:hAnsi="Arial"/>
          <w:b w:val="false"/>
          <w:bCs w:val="false"/>
          <w:sz w:val="20"/>
          <w:szCs w:val="20"/>
        </w:rPr>
        <w:t xml:space="preserve">Tata Memorial Hospital, Mumbai — National leader; CAR-T programme; clinical trial access; compassionate use coordinators.</w:t>
      </w:r>
    </w:p>
    <w:p>
      <w:pPr>
        <w:pStyle w:val="ListParagraph"/>
        <w:numPr>
          <w:ilvl w:val="0"/>
          <w:numId w:val="2"/>
        </w:numPr>
        <w:spacing w:after="40" w:before="40"/>
      </w:pPr>
      <w:r>
        <w:rPr>
          <w:rFonts w:ascii="Arial" w:cs="Arial" w:eastAsia="Arial" w:hAnsi="Arial"/>
          <w:b w:val="false"/>
          <w:bCs w:val="false"/>
          <w:sz w:val="20"/>
          <w:szCs w:val="20"/>
        </w:rPr>
        <w:t xml:space="preserve">AIIMS New Delhi — Government-supported CAR-T research programme; clinical trial enrolment; academic access to novel agents.</w:t>
      </w:r>
    </w:p>
    <w:p>
      <w:pPr>
        <w:pStyle w:val="ListParagraph"/>
        <w:numPr>
          <w:ilvl w:val="0"/>
          <w:numId w:val="2"/>
        </w:numPr>
        <w:spacing w:after="40" w:before="40"/>
      </w:pPr>
      <w:r>
        <w:rPr>
          <w:rFonts w:ascii="Arial" w:cs="Arial" w:eastAsia="Arial" w:hAnsi="Arial"/>
          <w:b w:val="false"/>
          <w:bCs w:val="false"/>
          <w:sz w:val="20"/>
          <w:szCs w:val="20"/>
        </w:rPr>
        <w:t xml:space="preserve">CMC Vellore — Established bone marrow transplant and cellular therapy programme; has administered Kymriah.</w:t>
      </w:r>
    </w:p>
    <w:p>
      <w:pPr>
        <w:pStyle w:val="ListParagraph"/>
        <w:numPr>
          <w:ilvl w:val="0"/>
          <w:numId w:val="2"/>
        </w:numPr>
        <w:spacing w:after="40" w:before="40"/>
      </w:pPr>
      <w:r>
        <w:rPr>
          <w:rFonts w:ascii="Arial" w:cs="Arial" w:eastAsia="Arial" w:hAnsi="Arial"/>
          <w:b w:val="false"/>
          <w:bCs w:val="false"/>
          <w:sz w:val="20"/>
          <w:szCs w:val="20"/>
        </w:rPr>
        <w:t xml:space="preserve">Medanta, Gurugram — Already has a relationship with the patient (September 2024 hospitalisation); CAR-T capabilities being built.</w:t>
      </w:r>
    </w:p>
    <w:p>
      <w:r>
        <w:br w:type="page"/>
      </w:r>
    </w:p>
    <w:p>
      <w:pPr>
        <w:pStyle w:val="Heading1"/>
        <w:spacing w:after="100" w:before="280"/>
      </w:pPr>
      <w:r>
        <w:rPr>
          <w:rFonts w:ascii="Arial" w:cs="Arial" w:eastAsia="Arial" w:hAnsi="Arial"/>
          <w:b/>
          <w:bCs/>
          <w:color w:val="1F3864"/>
          <w:sz w:val="32"/>
          <w:szCs w:val="32"/>
        </w:rPr>
        <w:t xml:space="preserve">8. Ongoing Monitoring &amp; Supportive Care Plan</w:t>
      </w:r>
    </w:p>
    <w:p>
      <w:pPr>
        <w:pBdr>
          <w:bottom w:val="single" w:color="2E5F8C" w:sz="8" w:space="1"/>
        </w:pBdr>
        <w:spacing w:after="100"/>
      </w:pPr>
    </w:p>
    <w:p>
      <w:pPr>
        <w:pStyle w:val="Heading2"/>
        <w:spacing w:after="80" w:before="200"/>
      </w:pPr>
      <w:r>
        <w:rPr>
          <w:rFonts w:ascii="Arial" w:cs="Arial" w:eastAsia="Arial" w:hAnsi="Arial"/>
          <w:b/>
          <w:bCs/>
          <w:color w:val="2E5F8C"/>
          <w:sz w:val="26"/>
          <w:szCs w:val="26"/>
        </w:rPr>
        <w:t xml:space="preserve">8.1 Disease Monitoring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80"/>
            </w:tcMar>
            <w:vAlign w:val="center"/>
          </w:tcPr>
          <w:p>
            <w:r>
              <w:rPr>
                <w:rFonts w:ascii="Arial" w:cs="Arial" w:eastAsia="Arial" w:hAnsi="Arial"/>
                <w:b/>
                <w:bCs/>
                <w:color w:val="FFFFFF"/>
                <w:sz w:val="18"/>
                <w:szCs w:val="18"/>
              </w:rPr>
              <w:t xml:space="preserve">Test</w:t>
            </w:r>
          </w:p>
        </w:tc>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80"/>
            </w:tcMar>
            <w:vAlign w:val="center"/>
          </w:tcPr>
          <w:p>
            <w:r>
              <w:rPr>
                <w:rFonts w:ascii="Arial" w:cs="Arial" w:eastAsia="Arial" w:hAnsi="Arial"/>
                <w:b/>
                <w:bCs/>
                <w:color w:val="FFFFFF"/>
                <w:sz w:val="18"/>
                <w:szCs w:val="18"/>
              </w:rPr>
              <w:t xml:space="preserve">Frequency</w:t>
            </w:r>
          </w:p>
        </w:tc>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80"/>
            </w:tcMar>
            <w:vAlign w:val="center"/>
          </w:tcPr>
          <w:p>
            <w:r>
              <w:rPr>
                <w:rFonts w:ascii="Arial" w:cs="Arial" w:eastAsia="Arial" w:hAnsi="Arial"/>
                <w:b/>
                <w:bCs/>
                <w:color w:val="FFFFFF"/>
                <w:sz w:val="18"/>
                <w:szCs w:val="18"/>
              </w:rPr>
              <w:t xml:space="preserve">Threshold for Action</w:t>
            </w:r>
          </w:p>
        </w:tc>
      </w:tr>
      <w:tr>
        <w:tc>
          <w:tcPr>
            <w:tcW w:type="dxa" w:w="312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Serum free light chains (kappa + lambda)</w:t>
            </w:r>
          </w:p>
        </w:tc>
        <w:tc>
          <w:tcPr>
            <w:tcW w:type="dxa" w:w="312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Every 4 weeks</w:t>
            </w:r>
          </w:p>
        </w:tc>
        <w:tc>
          <w:tcPr>
            <w:tcW w:type="dxa" w:w="312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Rising kappa or ratio &gt;2.5 after nadir — investigate for relapse</w:t>
            </w:r>
          </w:p>
        </w:tc>
      </w:tr>
      <w:tr>
        <w:tc>
          <w:tcPr>
            <w:tcW w:type="dxa" w:w="312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SPEP with M-spike quantification</w:t>
            </w:r>
          </w:p>
        </w:tc>
        <w:tc>
          <w:tcPr>
            <w:tcW w:type="dxa" w:w="312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Every 4–8 weeks</w:t>
            </w:r>
          </w:p>
        </w:tc>
        <w:tc>
          <w:tcPr>
            <w:tcW w:type="dxa" w:w="312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New or rising M-spike — treat as relapse</w:t>
            </w:r>
          </w:p>
        </w:tc>
      </w:tr>
      <w:tr>
        <w:tc>
          <w:tcPr>
            <w:tcW w:type="dxa" w:w="312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Beta-2 microglobulin</w:t>
            </w:r>
          </w:p>
        </w:tc>
        <w:tc>
          <w:tcPr>
            <w:tcW w:type="dxa" w:w="312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Every 3 months</w:t>
            </w:r>
          </w:p>
        </w:tc>
        <w:tc>
          <w:tcPr>
            <w:tcW w:type="dxa" w:w="312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Interpret in context of CKD — rising after renal stabilisation suggests disease progression</w:t>
            </w:r>
          </w:p>
        </w:tc>
      </w:tr>
      <w:tr>
        <w:tc>
          <w:tcPr>
            <w:tcW w:type="dxa" w:w="312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Bone marrow MRD (flow cytometry)</w:t>
            </w:r>
          </w:p>
        </w:tc>
        <w:tc>
          <w:tcPr>
            <w:tcW w:type="dxa" w:w="312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Every 6–12 months or at biochemical relapse</w:t>
            </w:r>
          </w:p>
        </w:tc>
        <w:tc>
          <w:tcPr>
            <w:tcW w:type="dxa" w:w="312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MRD positivity ≥0.01% warrants treatment decision discussion</w:t>
            </w:r>
          </w:p>
        </w:tc>
      </w:tr>
      <w:tr>
        <w:tc>
          <w:tcPr>
            <w:tcW w:type="dxa" w:w="312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PET/CT or WBLDCT imaging</w:t>
            </w:r>
          </w:p>
        </w:tc>
        <w:tc>
          <w:tcPr>
            <w:tcW w:type="dxa" w:w="312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Every 6–12 months</w:t>
            </w:r>
          </w:p>
        </w:tc>
        <w:tc>
          <w:tcPr>
            <w:tcW w:type="dxa" w:w="312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New FDG-avid lesions or new lytic lesions = active relapse</w:t>
            </w:r>
          </w:p>
        </w:tc>
      </w:tr>
      <w:tr>
        <w:tc>
          <w:tcPr>
            <w:tcW w:type="dxa" w:w="312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Creatinine + eGFR</w:t>
            </w:r>
          </w:p>
        </w:tc>
        <w:tc>
          <w:tcPr>
            <w:tcW w:type="dxa" w:w="312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Every 2–4 weeks</w:t>
            </w:r>
          </w:p>
        </w:tc>
        <w:tc>
          <w:tcPr>
            <w:tcW w:type="dxa" w:w="312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Creatinine rising &gt;25% from baseline = hold/adjust nephrotoxic agents</w:t>
            </w:r>
          </w:p>
        </w:tc>
      </w:tr>
      <w:tr>
        <w:tc>
          <w:tcPr>
            <w:tcW w:type="dxa" w:w="312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Potassium</w:t>
            </w:r>
          </w:p>
        </w:tc>
        <w:tc>
          <w:tcPr>
            <w:tcW w:type="dxa" w:w="312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Every 2–4 weeks</w:t>
            </w:r>
          </w:p>
        </w:tc>
        <w:tc>
          <w:tcPr>
            <w:tcW w:type="dxa" w:w="312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K+ &gt;5.5 mEq/L = medical management before any myeloma therapy</w:t>
            </w:r>
          </w:p>
        </w:tc>
      </w:tr>
      <w:tr>
        <w:tc>
          <w:tcPr>
            <w:tcW w:type="dxa" w:w="312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CBC (Hb, platelets, ANC)</w:t>
            </w:r>
          </w:p>
        </w:tc>
        <w:tc>
          <w:tcPr>
            <w:tcW w:type="dxa" w:w="312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Every 2–4 weeks on active therapy</w:t>
            </w:r>
          </w:p>
        </w:tc>
        <w:tc>
          <w:tcPr>
            <w:tcW w:type="dxa" w:w="3120"/>
            <w:tcBorders>
              <w:top w:val="single" w:color="D9D9D9" w:sz="1"/>
              <w:left w:val="single" w:color="D9D9D9" w:sz="1"/>
              <w:bottom w:val="single" w:color="D9D9D9" w:sz="1"/>
              <w:right w:val="single" w:color="D9D9D9" w:sz="1"/>
            </w:tcBorders>
            <w:shd w:fill="F2F2F2" w:val="clear"/>
            <w:tcMar>
              <w:top w:type="dxa" w:w="70"/>
              <w:left w:type="dxa" w:w="120"/>
              <w:bottom w:type="dxa" w:w="70"/>
              <w:right w:type="dxa" w:w="80"/>
            </w:tcMar>
          </w:tcPr>
          <w:p>
            <w:r>
              <w:rPr>
                <w:rFonts w:ascii="Arial" w:cs="Arial" w:eastAsia="Arial" w:hAnsi="Arial"/>
                <w:sz w:val="18"/>
                <w:szCs w:val="18"/>
              </w:rPr>
              <w:t xml:space="preserve">Hb &lt;8 = consider transfusion; Plts &lt;50 = hold/adjust; ANC &lt;1.0 = prophylactic G-CSF</w:t>
            </w:r>
          </w:p>
        </w:tc>
      </w:tr>
      <w:tr>
        <w:tc>
          <w:tcPr>
            <w:tcW w:type="dxa" w:w="312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IgG quantification (on bispecifics)</w:t>
            </w:r>
          </w:p>
        </w:tc>
        <w:tc>
          <w:tcPr>
            <w:tcW w:type="dxa" w:w="312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Every 8–12 weeks</w:t>
            </w:r>
          </w:p>
        </w:tc>
        <w:tc>
          <w:tcPr>
            <w:tcW w:type="dxa" w:w="3120"/>
            <w:tcBorders>
              <w:top w:val="single" w:color="D9D9D9" w:sz="1"/>
              <w:left w:val="single" w:color="D9D9D9" w:sz="1"/>
              <w:bottom w:val="single" w:color="D9D9D9" w:sz="1"/>
              <w:right w:val="single" w:color="D9D9D9" w:sz="1"/>
            </w:tcBorders>
            <w:shd w:fill="FFFFFF" w:val="clear"/>
            <w:tcMar>
              <w:top w:type="dxa" w:w="70"/>
              <w:left w:type="dxa" w:w="120"/>
              <w:bottom w:type="dxa" w:w="70"/>
              <w:right w:type="dxa" w:w="80"/>
            </w:tcMar>
          </w:tcPr>
          <w:p>
            <w:r>
              <w:rPr>
                <w:rFonts w:ascii="Arial" w:cs="Arial" w:eastAsia="Arial" w:hAnsi="Arial"/>
                <w:sz w:val="18"/>
                <w:szCs w:val="18"/>
              </w:rPr>
              <w:t xml:space="preserve">IgG &lt;400 mg/dL = start IVIG 0.4 g/kg IV every 3–4 weeks</w:t>
            </w:r>
          </w:p>
        </w:tc>
      </w:tr>
    </w:tbl>
    <w:p>
      <w:pPr>
        <w:spacing w:after="0" w:before="120"/>
      </w:pPr>
    </w:p>
    <w:p>
      <w:pPr>
        <w:pStyle w:val="Heading2"/>
        <w:spacing w:after="80" w:before="200"/>
      </w:pPr>
      <w:r>
        <w:rPr>
          <w:rFonts w:ascii="Arial" w:cs="Arial" w:eastAsia="Arial" w:hAnsi="Arial"/>
          <w:b/>
          <w:bCs/>
          <w:color w:val="2E5F8C"/>
          <w:sz w:val="26"/>
          <w:szCs w:val="26"/>
        </w:rPr>
        <w:t xml:space="preserve">8.2 Supportive Care Essentials</w:t>
      </w:r>
    </w:p>
    <w:p>
      <w:pPr>
        <w:pStyle w:val="ListParagraph"/>
        <w:numPr>
          <w:ilvl w:val="0"/>
          <w:numId w:val="2"/>
        </w:numPr>
        <w:spacing w:after="40" w:before="40"/>
      </w:pPr>
      <w:r>
        <w:rPr>
          <w:rFonts w:ascii="Arial" w:cs="Arial" w:eastAsia="Arial" w:hAnsi="Arial"/>
          <w:b w:val="false"/>
          <w:bCs w:val="false"/>
          <w:sz w:val="20"/>
          <w:szCs w:val="20"/>
        </w:rPr>
        <w:t xml:space="preserve">Bone protection: Continue zoledronic acid quarterly (adjust dose for eGFR 30–60: 3 mg over 15 min instead of standard 4 mg over 15 min). Monitor calcium and renal function post-infusion.</w:t>
      </w:r>
    </w:p>
    <w:p>
      <w:pPr>
        <w:pStyle w:val="ListParagraph"/>
        <w:numPr>
          <w:ilvl w:val="0"/>
          <w:numId w:val="2"/>
        </w:numPr>
        <w:spacing w:after="40" w:before="40"/>
      </w:pPr>
      <w:r>
        <w:rPr>
          <w:rFonts w:ascii="Arial" w:cs="Arial" w:eastAsia="Arial" w:hAnsi="Arial"/>
          <w:b w:val="false"/>
          <w:bCs w:val="false"/>
          <w:sz w:val="20"/>
          <w:szCs w:val="20"/>
        </w:rPr>
        <w:t xml:space="preserve">Anti-infective prophylaxis on bispecifics: Acyclovir/valacyclovir (HSV/VZV); trimethoprim-sulfamethoxazole (PCP); antifungal prophylaxis (fluconazole); levofloxacin for bacteraemia prophylaxis in first 3 months.</w:t>
      </w:r>
    </w:p>
    <w:p>
      <w:pPr>
        <w:pStyle w:val="ListParagraph"/>
        <w:numPr>
          <w:ilvl w:val="0"/>
          <w:numId w:val="2"/>
        </w:numPr>
        <w:spacing w:after="40" w:before="40"/>
      </w:pPr>
      <w:r>
        <w:rPr>
          <w:rFonts w:ascii="Arial" w:cs="Arial" w:eastAsia="Arial" w:hAnsi="Arial"/>
          <w:b w:val="false"/>
          <w:bCs w:val="false"/>
          <w:sz w:val="20"/>
          <w:szCs w:val="20"/>
        </w:rPr>
        <w:t xml:space="preserve">Anaemia management: Darbepoetin alfa if Hb persistently &lt;10 g/dL and no active bleeding; transfusion threshold at Hb &lt;8 g/dL.</w:t>
      </w:r>
    </w:p>
    <w:p>
      <w:pPr>
        <w:pStyle w:val="ListParagraph"/>
        <w:numPr>
          <w:ilvl w:val="0"/>
          <w:numId w:val="2"/>
        </w:numPr>
        <w:spacing w:after="40" w:before="40"/>
      </w:pPr>
      <w:r>
        <w:rPr>
          <w:rFonts w:ascii="Arial" w:cs="Arial" w:eastAsia="Arial" w:hAnsi="Arial"/>
          <w:b w:val="false"/>
          <w:bCs w:val="false"/>
          <w:sz w:val="20"/>
          <w:szCs w:val="20"/>
        </w:rPr>
        <w:t xml:space="preserve">Thrombosis prophylaxis: All IMiD-containing regimens require aspirin (low-risk) or LMWH (high-risk VTE) per IMWG recommendations.</w:t>
      </w:r>
    </w:p>
    <w:p>
      <w:pPr>
        <w:pStyle w:val="ListParagraph"/>
        <w:numPr>
          <w:ilvl w:val="0"/>
          <w:numId w:val="2"/>
        </w:numPr>
        <w:spacing w:after="40" w:before="40"/>
      </w:pPr>
      <w:r>
        <w:rPr>
          <w:rFonts w:ascii="Arial" w:cs="Arial" w:eastAsia="Arial" w:hAnsi="Arial"/>
          <w:b w:val="false"/>
          <w:bCs w:val="false"/>
          <w:sz w:val="20"/>
          <w:szCs w:val="20"/>
        </w:rPr>
        <w:t xml:space="preserve">Asthma management: Maintain Foracort 200 (formoterol-budesonide). Dexamethasone doses in myeloma regimens can cause adrenal suppression — monitor and wean appropriately.</w:t>
      </w:r>
    </w:p>
    <w:p>
      <w:pPr>
        <w:pStyle w:val="ListParagraph"/>
        <w:numPr>
          <w:ilvl w:val="0"/>
          <w:numId w:val="2"/>
        </w:numPr>
        <w:spacing w:after="40" w:before="40"/>
      </w:pPr>
      <w:r>
        <w:rPr>
          <w:rFonts w:ascii="Arial" w:cs="Arial" w:eastAsia="Arial" w:hAnsi="Arial"/>
          <w:b w:val="false"/>
          <w:bCs w:val="false"/>
          <w:sz w:val="20"/>
          <w:szCs w:val="20"/>
        </w:rPr>
        <w:t xml:space="preserve">BPH management: Continue alfuzosin 10 mg. Note that some bispecific antibodies can cause urinary symptoms — monitor for urinary retention.</w:t>
      </w:r>
    </w:p>
    <w:p>
      <w:pPr>
        <w:pStyle w:val="ListParagraph"/>
        <w:numPr>
          <w:ilvl w:val="0"/>
          <w:numId w:val="2"/>
        </w:numPr>
        <w:spacing w:after="40" w:before="40"/>
      </w:pPr>
      <w:r>
        <w:rPr>
          <w:rFonts w:ascii="Arial" w:cs="Arial" w:eastAsia="Arial" w:hAnsi="Arial"/>
          <w:b w:val="false"/>
          <w:bCs w:val="false"/>
          <w:sz w:val="20"/>
          <w:szCs w:val="20"/>
        </w:rPr>
        <w:t xml:space="preserve">Hypertension: Telmisartan 40 mg — discuss with nephrologist whether to continue given hyperkalemia risk; may need to switch to amlodipine or another class.</w:t>
      </w:r>
    </w:p>
    <w:p>
      <w:pPr>
        <w:pStyle w:val="ListParagraph"/>
        <w:numPr>
          <w:ilvl w:val="0"/>
          <w:numId w:val="2"/>
        </w:numPr>
        <w:spacing w:after="40" w:before="40"/>
      </w:pPr>
      <w:r>
        <w:rPr>
          <w:rFonts w:ascii="Arial" w:cs="Arial" w:eastAsia="Arial" w:hAnsi="Arial"/>
          <w:b w:val="false"/>
          <w:bCs w:val="false"/>
          <w:sz w:val="20"/>
          <w:szCs w:val="20"/>
        </w:rPr>
        <w:t xml:space="preserve">Pain management: Ensure adequate vertebral stabilisation assessment given D1, D6 vertebral collapse history. Kyphoplasty/vertebroplasty evaluation if not already done.</w:t>
      </w:r>
    </w:p>
    <w:p>
      <w:r>
        <w:br w:type="page"/>
      </w:r>
    </w:p>
    <w:p>
      <w:pPr>
        <w:pStyle w:val="Heading1"/>
        <w:spacing w:after="100" w:before="280"/>
      </w:pPr>
      <w:r>
        <w:rPr>
          <w:rFonts w:ascii="Arial" w:cs="Arial" w:eastAsia="Arial" w:hAnsi="Arial"/>
          <w:b/>
          <w:bCs/>
          <w:color w:val="1F3864"/>
          <w:sz w:val="32"/>
          <w:szCs w:val="32"/>
        </w:rPr>
        <w:t xml:space="preserve">9. Evidence Sources &amp; Citations</w:t>
      </w:r>
    </w:p>
    <w:p>
      <w:pPr>
        <w:pBdr>
          <w:bottom w:val="single" w:color="2E5F8C" w:sz="8" w:space="1"/>
        </w:pBdr>
        <w:spacing w:after="100"/>
      </w:pPr>
    </w:p>
    <w:p>
      <w:pPr>
        <w:spacing w:after="80" w:before="60"/>
      </w:pPr>
      <w:r>
        <w:rPr>
          <w:rFonts w:ascii="Arial" w:cs="Arial" w:eastAsia="Arial" w:hAnsi="Arial"/>
          <w:sz w:val="20"/>
          <w:szCs w:val="20"/>
        </w:rPr>
        <w:t xml:space="preserve">All recommendations in this report are grounded in the following peer-reviewed publications and clinical trial data. Sources are listed by therapeutic area.</w:t>
      </w:r>
    </w:p>
    <w:p>
      <w:pPr>
        <w:spacing w:after="0" w:before="80"/>
      </w:pPr>
    </w:p>
    <w:p>
      <w:pPr>
        <w:pStyle w:val="Heading3"/>
        <w:spacing w:after="60" w:before="160"/>
      </w:pPr>
      <w:r>
        <w:rPr>
          <w:rFonts w:ascii="Arial" w:cs="Arial" w:eastAsia="Arial" w:hAnsi="Arial"/>
          <w:b/>
          <w:bCs/>
          <w:color w:val="1F3864"/>
          <w:sz w:val="22"/>
          <w:szCs w:val="22"/>
        </w:rPr>
        <w:t xml:space="preserve">CAR-T Therapy</w:t>
      </w:r>
    </w:p>
    <w:p>
      <w:pPr>
        <w:pStyle w:val="ListParagraph"/>
        <w:numPr>
          <w:ilvl w:val="0"/>
          <w:numId w:val="2"/>
        </w:numPr>
        <w:spacing w:after="40" w:before="40"/>
      </w:pPr>
      <w:hyperlink w:history="1" r:id="rIdofbctzscyfrwssmzswugv">
        <w:r>
          <w:rPr>
            <w:rFonts w:ascii="Arial" w:cs="Arial" w:eastAsia="Arial" w:hAnsi="Arial"/>
            <w:color w:val="1155CC"/>
            <w:sz w:val="19"/>
            <w:szCs w:val="19"/>
            <w:u w:val="single"/>
          </w:rPr>
          <w:t xml:space="preserve">CARTITUDE-4 Updated Analysis — Lancet Oncology 2025</w:t>
        </w:r>
      </w:hyperlink>
    </w:p>
    <w:p>
      <w:pPr>
        <w:pStyle w:val="ListParagraph"/>
        <w:numPr>
          <w:ilvl w:val="0"/>
          <w:numId w:val="2"/>
        </w:numPr>
        <w:spacing w:after="40" w:before="40"/>
      </w:pPr>
      <w:hyperlink w:history="1" r:id="rIdvoasjkw6iyvfivfdwls-h">
        <w:r>
          <w:rPr>
            <w:rFonts w:ascii="Arial" w:cs="Arial" w:eastAsia="Arial" w:hAnsi="Arial"/>
            <w:color w:val="1155CC"/>
            <w:sz w:val="19"/>
            <w:szCs w:val="19"/>
            <w:u w:val="single"/>
          </w:rPr>
          <w:t xml:space="preserve">Cilta-cel Overall Survival Benefit — OncLive 2025</w:t>
        </w:r>
      </w:hyperlink>
    </w:p>
    <w:p>
      <w:pPr>
        <w:pStyle w:val="ListParagraph"/>
        <w:numPr>
          <w:ilvl w:val="0"/>
          <w:numId w:val="2"/>
        </w:numPr>
        <w:spacing w:after="40" w:before="40"/>
      </w:pPr>
      <w:hyperlink w:history="1" r:id="rIdjvgofoco3cyhrjvz50kyi">
        <w:r>
          <w:rPr>
            <w:rFonts w:ascii="Arial" w:cs="Arial" w:eastAsia="Arial" w:hAnsi="Arial"/>
            <w:color w:val="1155CC"/>
            <w:sz w:val="19"/>
            <w:szCs w:val="19"/>
            <w:u w:val="single"/>
          </w:rPr>
          <w:t xml:space="preserve">CAR-T in CKD/ESRD Case Series — Clinical Lymphoma Myeloma Leukemia 2026</w:t>
        </w:r>
      </w:hyperlink>
    </w:p>
    <w:p>
      <w:pPr>
        <w:pStyle w:val="ListParagraph"/>
        <w:numPr>
          <w:ilvl w:val="0"/>
          <w:numId w:val="2"/>
        </w:numPr>
        <w:spacing w:after="40" w:before="40"/>
      </w:pPr>
      <w:hyperlink w:history="1" r:id="rId9ynfmgnnt7wofaydy7ajv">
        <w:r>
          <w:rPr>
            <w:rFonts w:ascii="Arial" w:cs="Arial" w:eastAsia="Arial" w:hAnsi="Arial"/>
            <w:color w:val="1155CC"/>
            <w:sz w:val="19"/>
            <w:szCs w:val="19"/>
            <w:u w:val="single"/>
          </w:rPr>
          <w:t xml:space="preserve">CAR-T in MM on Haemodialysis — Kidney Medicine 2024</w:t>
        </w:r>
      </w:hyperlink>
    </w:p>
    <w:p>
      <w:pPr>
        <w:pStyle w:val="ListParagraph"/>
        <w:numPr>
          <w:ilvl w:val="0"/>
          <w:numId w:val="2"/>
        </w:numPr>
        <w:spacing w:after="40" w:before="40"/>
      </w:pPr>
      <w:hyperlink w:history="1" r:id="rIdk3nf5d3lue8eif4ahczhl">
        <w:r>
          <w:rPr>
            <w:rFonts w:ascii="Arial" w:cs="Arial" w:eastAsia="Arial" w:hAnsi="Arial"/>
            <w:color w:val="1155CC"/>
            <w:sz w:val="19"/>
            <w:szCs w:val="19"/>
            <w:u w:val="single"/>
          </w:rPr>
          <w:t xml:space="preserve">Dana-Farber CAR-T Update 2025</w:t>
        </w:r>
      </w:hyperlink>
    </w:p>
    <w:p>
      <w:pPr>
        <w:spacing w:after="0" w:before="60"/>
      </w:pPr>
    </w:p>
    <w:p>
      <w:pPr>
        <w:pStyle w:val="Heading3"/>
        <w:spacing w:after="60" w:before="160"/>
      </w:pPr>
      <w:r>
        <w:rPr>
          <w:rFonts w:ascii="Arial" w:cs="Arial" w:eastAsia="Arial" w:hAnsi="Arial"/>
          <w:b/>
          <w:bCs/>
          <w:color w:val="1F3864"/>
          <w:sz w:val="22"/>
          <w:szCs w:val="22"/>
        </w:rPr>
        <w:t xml:space="preserve">Bispecific Antibodies</w:t>
      </w:r>
    </w:p>
    <w:p>
      <w:pPr>
        <w:pStyle w:val="ListParagraph"/>
        <w:numPr>
          <w:ilvl w:val="0"/>
          <w:numId w:val="2"/>
        </w:numPr>
        <w:spacing w:after="40" w:before="40"/>
      </w:pPr>
      <w:hyperlink w:history="1" r:id="rId-jq2qlyiz02vtwihti_gs">
        <w:r>
          <w:rPr>
            <w:rFonts w:ascii="Arial" w:cs="Arial" w:eastAsia="Arial" w:hAnsi="Arial"/>
            <w:color w:val="1155CC"/>
            <w:sz w:val="19"/>
            <w:szCs w:val="19"/>
            <w:u w:val="single"/>
          </w:rPr>
          <w:t xml:space="preserve">Teclistamab in Renal Impairment — Blood Advances 2025 (USMIRC Group)</w:t>
        </w:r>
      </w:hyperlink>
    </w:p>
    <w:p>
      <w:pPr>
        <w:pStyle w:val="ListParagraph"/>
        <w:numPr>
          <w:ilvl w:val="0"/>
          <w:numId w:val="2"/>
        </w:numPr>
        <w:spacing w:after="40" w:before="40"/>
      </w:pPr>
      <w:hyperlink w:history="1" r:id="rIdchhvhvcmmke1fgaa1js5y">
        <w:r>
          <w:rPr>
            <w:rFonts w:ascii="Arial" w:cs="Arial" w:eastAsia="Arial" w:hAnsi="Arial"/>
            <w:color w:val="1155CC"/>
            <w:sz w:val="19"/>
            <w:szCs w:val="19"/>
            <w:u w:val="single"/>
          </w:rPr>
          <w:t xml:space="preserve">Teclistamab in RRMM with RI — ASH Clinical News</w:t>
        </w:r>
      </w:hyperlink>
    </w:p>
    <w:p>
      <w:pPr>
        <w:pStyle w:val="ListParagraph"/>
        <w:numPr>
          <w:ilvl w:val="0"/>
          <w:numId w:val="2"/>
        </w:numPr>
        <w:spacing w:after="40" w:before="40"/>
      </w:pPr>
      <w:hyperlink w:history="1" r:id="rIdrwepkodvkhumhdewbjv_h">
        <w:r>
          <w:rPr>
            <w:rFonts w:ascii="Arial" w:cs="Arial" w:eastAsia="Arial" w:hAnsi="Arial"/>
            <w:color w:val="1155CC"/>
            <w:sz w:val="19"/>
            <w:szCs w:val="19"/>
            <w:u w:val="single"/>
          </w:rPr>
          <w:t xml:space="preserve">Teclistamab Review — PMC 2025</w:t>
        </w:r>
      </w:hyperlink>
    </w:p>
    <w:p>
      <w:pPr>
        <w:pStyle w:val="ListParagraph"/>
        <w:numPr>
          <w:ilvl w:val="0"/>
          <w:numId w:val="2"/>
        </w:numPr>
        <w:spacing w:after="40" w:before="40"/>
      </w:pPr>
      <w:hyperlink w:history="1" r:id="rIdgzsib3tknubks7h1qazvp">
        <w:r>
          <w:rPr>
            <w:rFonts w:ascii="Arial" w:cs="Arial" w:eastAsia="Arial" w:hAnsi="Arial"/>
            <w:color w:val="1155CC"/>
            <w:sz w:val="19"/>
            <w:szCs w:val="19"/>
            <w:u w:val="single"/>
          </w:rPr>
          <w:t xml:space="preserve">Bispecific Antibodies ASH 2025 Updates — AJMC</w:t>
        </w:r>
      </w:hyperlink>
    </w:p>
    <w:p>
      <w:pPr>
        <w:pStyle w:val="ListParagraph"/>
        <w:numPr>
          <w:ilvl w:val="0"/>
          <w:numId w:val="2"/>
        </w:numPr>
        <w:spacing w:after="40" w:before="40"/>
      </w:pPr>
      <w:hyperlink w:history="1" r:id="rIdgpalcsqmx8qdsrk5zgfls">
        <w:r>
          <w:rPr>
            <w:rFonts w:ascii="Arial" w:cs="Arial" w:eastAsia="Arial" w:hAnsi="Arial"/>
            <w:color w:val="1155CC"/>
            <w:sz w:val="19"/>
            <w:szCs w:val="19"/>
            <w:u w:val="single"/>
          </w:rPr>
          <w:t xml:space="preserve">Linvoseltamab FDA Accelerated Approval July 2025</w:t>
        </w:r>
      </w:hyperlink>
    </w:p>
    <w:p>
      <w:pPr>
        <w:pStyle w:val="ListParagraph"/>
        <w:numPr>
          <w:ilvl w:val="0"/>
          <w:numId w:val="2"/>
        </w:numPr>
        <w:spacing w:after="40" w:before="40"/>
      </w:pPr>
      <w:hyperlink w:history="1" r:id="rIdupqzbeb4qx6_pmxsxeve0">
        <w:r>
          <w:rPr>
            <w:rFonts w:ascii="Arial" w:cs="Arial" w:eastAsia="Arial" w:hAnsi="Arial"/>
            <w:color w:val="1155CC"/>
            <w:sz w:val="19"/>
            <w:szCs w:val="19"/>
            <w:u w:val="single"/>
          </w:rPr>
          <w:t xml:space="preserve">Elranatamab in ESRD — Annals of Haematology 2025</w:t>
        </w:r>
      </w:hyperlink>
    </w:p>
    <w:p>
      <w:pPr>
        <w:spacing w:after="0" w:before="60"/>
      </w:pPr>
    </w:p>
    <w:p>
      <w:pPr>
        <w:pStyle w:val="Heading3"/>
        <w:spacing w:after="60" w:before="160"/>
      </w:pPr>
      <w:r>
        <w:rPr>
          <w:rFonts w:ascii="Arial" w:cs="Arial" w:eastAsia="Arial" w:hAnsi="Arial"/>
          <w:b/>
          <w:bCs/>
          <w:color w:val="1F3864"/>
          <w:sz w:val="22"/>
          <w:szCs w:val="22"/>
        </w:rPr>
        <w:t xml:space="preserve">Belantamab Mafodotin</w:t>
      </w:r>
    </w:p>
    <w:p>
      <w:pPr>
        <w:pStyle w:val="ListParagraph"/>
        <w:numPr>
          <w:ilvl w:val="0"/>
          <w:numId w:val="2"/>
        </w:numPr>
        <w:spacing w:after="40" w:before="40"/>
      </w:pPr>
      <w:hyperlink w:history="1" r:id="rIdym5ymh76zkyr3gc5fvjra">
        <w:r>
          <w:rPr>
            <w:rFonts w:ascii="Arial" w:cs="Arial" w:eastAsia="Arial" w:hAnsi="Arial"/>
            <w:color w:val="1155CC"/>
            <w:sz w:val="19"/>
            <w:szCs w:val="19"/>
            <w:u w:val="single"/>
          </w:rPr>
          <w:t xml:space="preserve">DREAMM-8 Primary Results — NEJM 2024</w:t>
        </w:r>
      </w:hyperlink>
    </w:p>
    <w:p>
      <w:pPr>
        <w:pStyle w:val="ListParagraph"/>
        <w:numPr>
          <w:ilvl w:val="0"/>
          <w:numId w:val="2"/>
        </w:numPr>
        <w:spacing w:after="40" w:before="40"/>
      </w:pPr>
      <w:hyperlink w:history="1" r:id="rIddj75jnezykk0g-fnsnado">
        <w:r>
          <w:rPr>
            <w:rFonts w:ascii="Arial" w:cs="Arial" w:eastAsia="Arial" w:hAnsi="Arial"/>
            <w:color w:val="1155CC"/>
            <w:sz w:val="19"/>
            <w:szCs w:val="19"/>
            <w:u w:val="single"/>
          </w:rPr>
          <w:t xml:space="preserve">DREAMM-8 Long-Term Follow-Up — ASH Blood 2024</w:t>
        </w:r>
      </w:hyperlink>
    </w:p>
    <w:p>
      <w:pPr>
        <w:pStyle w:val="ListParagraph"/>
        <w:numPr>
          <w:ilvl w:val="0"/>
          <w:numId w:val="2"/>
        </w:numPr>
        <w:spacing w:after="40" w:before="40"/>
      </w:pPr>
      <w:hyperlink w:history="1" r:id="rIdampjebbishsdepprvywtt">
        <w:r>
          <w:rPr>
            <w:rFonts w:ascii="Arial" w:cs="Arial" w:eastAsia="Arial" w:hAnsi="Arial"/>
            <w:color w:val="1155CC"/>
            <w:sz w:val="19"/>
            <w:szCs w:val="19"/>
            <w:u w:val="single"/>
          </w:rPr>
          <w:t xml:space="preserve">DREAMM-8 High-Risk Cytogenetics Subgroup — JCO 2025</w:t>
        </w:r>
      </w:hyperlink>
    </w:p>
    <w:p>
      <w:pPr>
        <w:pStyle w:val="ListParagraph"/>
        <w:numPr>
          <w:ilvl w:val="0"/>
          <w:numId w:val="2"/>
        </w:numPr>
        <w:spacing w:after="40" w:before="40"/>
      </w:pPr>
      <w:hyperlink w:history="1" r:id="rIdhww8ydem7rwdxcaiveguw">
        <w:r>
          <w:rPr>
            <w:rFonts w:ascii="Arial" w:cs="Arial" w:eastAsia="Arial" w:hAnsi="Arial"/>
            <w:color w:val="1155CC"/>
            <w:sz w:val="19"/>
            <w:szCs w:val="19"/>
            <w:u w:val="single"/>
          </w:rPr>
          <w:t xml:space="preserve">DREAMM-8 PRO/Patient-Reported Outcomes — Lancet Haematology 2025</w:t>
        </w:r>
      </w:hyperlink>
    </w:p>
    <w:p>
      <w:pPr>
        <w:spacing w:after="0" w:before="60"/>
      </w:pPr>
    </w:p>
    <w:p>
      <w:pPr>
        <w:pStyle w:val="Heading3"/>
        <w:spacing w:after="60" w:before="160"/>
      </w:pPr>
      <w:r>
        <w:rPr>
          <w:rFonts w:ascii="Arial" w:cs="Arial" w:eastAsia="Arial" w:hAnsi="Arial"/>
          <w:b/>
          <w:bCs/>
          <w:color w:val="1F3864"/>
          <w:sz w:val="22"/>
          <w:szCs w:val="22"/>
        </w:rPr>
        <w:t xml:space="preserve">Isatuximab</w:t>
      </w:r>
    </w:p>
    <w:p>
      <w:pPr>
        <w:pStyle w:val="ListParagraph"/>
        <w:numPr>
          <w:ilvl w:val="0"/>
          <w:numId w:val="2"/>
        </w:numPr>
        <w:spacing w:after="40" w:before="40"/>
      </w:pPr>
      <w:hyperlink w:history="1" r:id="rIdqwosxcop5zam6xduppflf">
        <w:r>
          <w:rPr>
            <w:rFonts w:ascii="Arial" w:cs="Arial" w:eastAsia="Arial" w:hAnsi="Arial"/>
            <w:color w:val="1155CC"/>
            <w:sz w:val="19"/>
            <w:szCs w:val="19"/>
            <w:u w:val="single"/>
          </w:rPr>
          <w:t xml:space="preserve">ICARIA-MM Final OS Analysis — Haematologica 2024</w:t>
        </w:r>
      </w:hyperlink>
    </w:p>
    <w:p>
      <w:pPr>
        <w:pStyle w:val="ListParagraph"/>
        <w:numPr>
          <w:ilvl w:val="0"/>
          <w:numId w:val="2"/>
        </w:numPr>
        <w:spacing w:after="40" w:before="40"/>
      </w:pPr>
      <w:hyperlink w:history="1" r:id="rIdgo8qlbwagsao9gmvnllzh">
        <w:r>
          <w:rPr>
            <w:rFonts w:ascii="Arial" w:cs="Arial" w:eastAsia="Arial" w:hAnsi="Arial"/>
            <w:color w:val="1155CC"/>
            <w:sz w:val="19"/>
            <w:szCs w:val="19"/>
            <w:u w:val="single"/>
          </w:rPr>
          <w:t xml:space="preserve">ICARIA-MM Renal Impairment Subgroup — Leukemia 2021</w:t>
        </w:r>
      </w:hyperlink>
    </w:p>
    <w:p>
      <w:pPr>
        <w:pStyle w:val="ListParagraph"/>
        <w:numPr>
          <w:ilvl w:val="0"/>
          <w:numId w:val="2"/>
        </w:numPr>
        <w:spacing w:after="40" w:before="40"/>
      </w:pPr>
      <w:hyperlink w:history="1" r:id="rIdvtyzah1omtk7xcm2b-eac">
        <w:r>
          <w:rPr>
            <w:rFonts w:ascii="Arial" w:cs="Arial" w:eastAsia="Arial" w:hAnsi="Arial"/>
            <w:color w:val="1155CC"/>
            <w:sz w:val="19"/>
            <w:szCs w:val="19"/>
            <w:u w:val="single"/>
          </w:rPr>
          <w:t xml:space="preserve">IKEMA Updated Results — Blood Cancer Journal 2023</w:t>
        </w:r>
      </w:hyperlink>
    </w:p>
    <w:p>
      <w:pPr>
        <w:spacing w:after="0" w:before="60"/>
      </w:pPr>
    </w:p>
    <w:p>
      <w:pPr>
        <w:pStyle w:val="Heading3"/>
        <w:spacing w:after="60" w:before="160"/>
      </w:pPr>
      <w:r>
        <w:rPr>
          <w:rFonts w:ascii="Arial" w:cs="Arial" w:eastAsia="Arial" w:hAnsi="Arial"/>
          <w:b/>
          <w:bCs/>
          <w:color w:val="1F3864"/>
          <w:sz w:val="22"/>
          <w:szCs w:val="22"/>
        </w:rPr>
        <w:t xml:space="preserve">Mezigdomide (CELMoD)</w:t>
      </w:r>
    </w:p>
    <w:p>
      <w:pPr>
        <w:pStyle w:val="ListParagraph"/>
        <w:numPr>
          <w:ilvl w:val="0"/>
          <w:numId w:val="2"/>
        </w:numPr>
        <w:spacing w:after="40" w:before="40"/>
      </w:pPr>
      <w:hyperlink w:history="1" r:id="rIdzsrhabj7ezbkb2mjxjjh8">
        <w:r>
          <w:rPr>
            <w:rFonts w:ascii="Arial" w:cs="Arial" w:eastAsia="Arial" w:hAnsi="Arial"/>
            <w:color w:val="1155CC"/>
            <w:sz w:val="19"/>
            <w:szCs w:val="19"/>
            <w:u w:val="single"/>
          </w:rPr>
          <w:t xml:space="preserve">Mezigdomide + Dex Phase 1/2 — NEJM 2024</w:t>
        </w:r>
      </w:hyperlink>
    </w:p>
    <w:p>
      <w:pPr>
        <w:pStyle w:val="ListParagraph"/>
        <w:numPr>
          <w:ilvl w:val="0"/>
          <w:numId w:val="2"/>
        </w:numPr>
        <w:spacing w:after="40" w:before="40"/>
      </w:pPr>
      <w:hyperlink w:history="1" r:id="rId3c2wa11wrhs0gvx9ql0f7">
        <w:r>
          <w:rPr>
            <w:rFonts w:ascii="Arial" w:cs="Arial" w:eastAsia="Arial" w:hAnsi="Arial"/>
            <w:color w:val="1155CC"/>
            <w:sz w:val="19"/>
            <w:szCs w:val="19"/>
            <w:u w:val="single"/>
          </w:rPr>
          <w:t xml:space="preserve">Phase 3 Success for MeziKd — IMF March 2026</w:t>
        </w:r>
      </w:hyperlink>
    </w:p>
    <w:p>
      <w:pPr>
        <w:pStyle w:val="ListParagraph"/>
        <w:numPr>
          <w:ilvl w:val="0"/>
          <w:numId w:val="2"/>
        </w:numPr>
        <w:spacing w:after="40" w:before="40"/>
      </w:pPr>
      <w:hyperlink w:history="1" r:id="rIdupzubt9djuthgx78oesk7">
        <w:r>
          <w:rPr>
            <w:rFonts w:ascii="Arial" w:cs="Arial" w:eastAsia="Arial" w:hAnsi="Arial"/>
            <w:color w:val="1155CC"/>
            <w:sz w:val="19"/>
            <w:szCs w:val="19"/>
            <w:u w:val="single"/>
          </w:rPr>
          <w:t xml:space="preserve">CELMoD Agents Clinical Trial Data — Multiple Myeloma Hub</w:t>
        </w:r>
      </w:hyperlink>
    </w:p>
    <w:p>
      <w:pPr>
        <w:spacing w:after="0" w:before="60"/>
      </w:pPr>
    </w:p>
    <w:p>
      <w:pPr>
        <w:pStyle w:val="Heading3"/>
        <w:spacing w:after="60" w:before="160"/>
      </w:pPr>
      <w:r>
        <w:rPr>
          <w:rFonts w:ascii="Arial" w:cs="Arial" w:eastAsia="Arial" w:hAnsi="Arial"/>
          <w:b/>
          <w:bCs/>
          <w:color w:val="1F3864"/>
          <w:sz w:val="22"/>
          <w:szCs w:val="22"/>
        </w:rPr>
        <w:t xml:space="preserve">Cytogenetics &amp; Risk</w:t>
      </w:r>
    </w:p>
    <w:p>
      <w:pPr>
        <w:pStyle w:val="ListParagraph"/>
        <w:numPr>
          <w:ilvl w:val="0"/>
          <w:numId w:val="2"/>
        </w:numPr>
        <w:spacing w:after="40" w:before="40"/>
      </w:pPr>
      <w:hyperlink w:history="1" r:id="rIdiokaizm2v6j0e2zt-owcl">
        <w:r>
          <w:rPr>
            <w:rFonts w:ascii="Arial" w:cs="Arial" w:eastAsia="Arial" w:hAnsi="Arial"/>
            <w:color w:val="1155CC"/>
            <w:sz w:val="19"/>
            <w:szCs w:val="19"/>
            <w:u w:val="single"/>
          </w:rPr>
          <w:t xml:space="preserve">Chromosome 1q21 Aberrations Review — Blood Cancer Journal 2024</w:t>
        </w:r>
      </w:hyperlink>
    </w:p>
    <w:p>
      <w:pPr>
        <w:pStyle w:val="ListParagraph"/>
        <w:numPr>
          <w:ilvl w:val="0"/>
          <w:numId w:val="2"/>
        </w:numPr>
        <w:spacing w:after="40" w:before="40"/>
      </w:pPr>
      <w:hyperlink w:history="1" r:id="rId5dtzcidjdmbbykar4jzlv">
        <w:r>
          <w:rPr>
            <w:rFonts w:ascii="Arial" w:cs="Arial" w:eastAsia="Arial" w:hAnsi="Arial"/>
            <w:color w:val="1155CC"/>
            <w:sz w:val="19"/>
            <w:szCs w:val="19"/>
            <w:u w:val="single"/>
          </w:rPr>
          <w:t xml:space="preserve">High-Risk Cytogenetics &amp; T-cell Redirecting Therapies — PMC 2025</w:t>
        </w:r>
      </w:hyperlink>
    </w:p>
    <w:p>
      <w:pPr>
        <w:pStyle w:val="ListParagraph"/>
        <w:numPr>
          <w:ilvl w:val="0"/>
          <w:numId w:val="2"/>
        </w:numPr>
        <w:spacing w:after="40" w:before="40"/>
      </w:pPr>
      <w:hyperlink w:history="1" r:id="rIducnfq5aqrd722kwbxjq8p">
        <w:r>
          <w:rPr>
            <w:rFonts w:ascii="Arial" w:cs="Arial" w:eastAsia="Arial" w:hAnsi="Arial"/>
            <w:color w:val="1155CC"/>
            <w:sz w:val="19"/>
            <w:szCs w:val="19"/>
            <w:u w:val="single"/>
          </w:rPr>
          <w:t xml:space="preserve">1q21 Prognostic Impact Systematic Review — Annals of Haematology 2024</w:t>
        </w:r>
      </w:hyperlink>
    </w:p>
    <w:p>
      <w:pPr>
        <w:pStyle w:val="ListParagraph"/>
        <w:numPr>
          <w:ilvl w:val="0"/>
          <w:numId w:val="2"/>
        </w:numPr>
        <w:spacing w:after="40" w:before="40"/>
      </w:pPr>
      <w:hyperlink w:history="1" r:id="rIdi2hi7upezx74cnqzf8kcx">
        <w:r>
          <w:rPr>
            <w:rFonts w:ascii="Arial" w:cs="Arial" w:eastAsia="Arial" w:hAnsi="Arial"/>
            <w:color w:val="1155CC"/>
            <w:sz w:val="19"/>
            <w:szCs w:val="19"/>
            <w:u w:val="single"/>
          </w:rPr>
          <w:t xml:space="preserve">Familial Multiple Myeloma — Clin Lymphoma Myeloma Leukemia 2025</w:t>
        </w:r>
      </w:hyperlink>
    </w:p>
    <w:p>
      <w:pPr>
        <w:spacing w:after="0" w:before="60"/>
      </w:pPr>
    </w:p>
    <w:p>
      <w:pPr>
        <w:pStyle w:val="Heading3"/>
        <w:spacing w:after="60" w:before="160"/>
      </w:pPr>
      <w:r>
        <w:rPr>
          <w:rFonts w:ascii="Arial" w:cs="Arial" w:eastAsia="Arial" w:hAnsi="Arial"/>
          <w:b/>
          <w:bCs/>
          <w:color w:val="1F3864"/>
          <w:sz w:val="22"/>
          <w:szCs w:val="22"/>
        </w:rPr>
        <w:t xml:space="preserve">Renal Management &amp; Drug Dosing in CKD</w:t>
      </w:r>
    </w:p>
    <w:p>
      <w:pPr>
        <w:pStyle w:val="ListParagraph"/>
        <w:numPr>
          <w:ilvl w:val="0"/>
          <w:numId w:val="2"/>
        </w:numPr>
        <w:spacing w:after="40" w:before="40"/>
      </w:pPr>
      <w:hyperlink w:history="1" r:id="rIdkooarfxj10miz2qfndxnh">
        <w:r>
          <w:rPr>
            <w:rFonts w:ascii="Arial" w:cs="Arial" w:eastAsia="Arial" w:hAnsi="Arial"/>
            <w:color w:val="1155CC"/>
            <w:sz w:val="19"/>
            <w:szCs w:val="19"/>
            <w:u w:val="single"/>
          </w:rPr>
          <w:t xml:space="preserve">IMWG Renal Impairment Recommendations — Lancet Oncology 2023</w:t>
        </w:r>
      </w:hyperlink>
    </w:p>
    <w:p>
      <w:pPr>
        <w:pStyle w:val="ListParagraph"/>
        <w:numPr>
          <w:ilvl w:val="0"/>
          <w:numId w:val="2"/>
        </w:numPr>
        <w:spacing w:after="40" w:before="40"/>
      </w:pPr>
      <w:hyperlink w:history="1" r:id="rIdzuy6hxftkrkqsz7duqmyy">
        <w:r>
          <w:rPr>
            <w:rFonts w:ascii="Arial" w:cs="Arial" w:eastAsia="Arial" w:hAnsi="Arial"/>
            <w:color w:val="1155CC"/>
            <w:sz w:val="19"/>
            <w:szCs w:val="19"/>
            <w:u w:val="single"/>
          </w:rPr>
          <w:t xml:space="preserve">Pomalidomide in Renal Impairment — OncLive</w:t>
        </w:r>
      </w:hyperlink>
    </w:p>
    <w:p>
      <w:pPr>
        <w:pStyle w:val="ListParagraph"/>
        <w:numPr>
          <w:ilvl w:val="0"/>
          <w:numId w:val="2"/>
        </w:numPr>
        <w:spacing w:after="40" w:before="40"/>
      </w:pPr>
      <w:hyperlink w:history="1" r:id="rId1kt-mbt899ogmnlqhxqch">
        <w:r>
          <w:rPr>
            <w:rFonts w:ascii="Arial" w:cs="Arial" w:eastAsia="Arial" w:hAnsi="Arial"/>
            <w:color w:val="1155CC"/>
            <w:sz w:val="19"/>
            <w:szCs w:val="19"/>
            <w:u w:val="single"/>
          </w:rPr>
          <w:t xml:space="preserve">Pomalidomide CKD Real-World Study — Clin Lymphoma Myeloma Leukemia 2024</w:t>
        </w:r>
      </w:hyperlink>
    </w:p>
    <w:p>
      <w:pPr>
        <w:pStyle w:val="ListParagraph"/>
        <w:numPr>
          <w:ilvl w:val="0"/>
          <w:numId w:val="2"/>
        </w:numPr>
        <w:spacing w:after="40" w:before="40"/>
      </w:pPr>
      <w:hyperlink w:history="1" r:id="rIdxvt5uuzjqgmohyrxnzxnr">
        <w:r>
          <w:rPr>
            <w:rFonts w:ascii="Arial" w:cs="Arial" w:eastAsia="Arial" w:hAnsi="Arial"/>
            <w:color w:val="1155CC"/>
            <w:sz w:val="19"/>
            <w:szCs w:val="19"/>
            <w:u w:val="single"/>
          </w:rPr>
          <w:t xml:space="preserve">Selinexor Renal Function Improvements — ScienceDirect (STORM post-hoc)</w:t>
        </w:r>
      </w:hyperlink>
    </w:p>
    <w:p>
      <w:pPr>
        <w:spacing w:after="0" w:before="60"/>
      </w:pPr>
    </w:p>
    <w:p>
      <w:r>
        <w:br w:type="page"/>
      </w:r>
    </w:p>
    <w:p>
      <w:pPr>
        <w:pStyle w:val="Heading1"/>
        <w:spacing w:after="100" w:before="280"/>
      </w:pPr>
      <w:r>
        <w:rPr>
          <w:rFonts w:ascii="Arial" w:cs="Arial" w:eastAsia="Arial" w:hAnsi="Arial"/>
          <w:b/>
          <w:bCs/>
          <w:color w:val="1F3864"/>
          <w:sz w:val="32"/>
          <w:szCs w:val="32"/>
        </w:rPr>
        <w:t xml:space="preserve">10. Medical Disclaimer</w:t>
      </w:r>
    </w:p>
    <w:p>
      <w:pPr>
        <w:pBdr>
          <w:bottom w:val="single" w:color="C9A84C" w:sz="8" w:space="1"/>
        </w:pBdr>
        <w:spacing w:after="10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6"/>
              <w:left w:val="single" w:color="C9A84C" w:sz="6"/>
              <w:bottom w:val="single" w:color="C9A84C" w:sz="1"/>
              <w:right w:val="single" w:color="C9A84C" w:sz="1"/>
            </w:tcBorders>
            <w:shd w:fill="FFF9E6" w:val="clear"/>
            <w:tcMar>
              <w:top w:type="dxa" w:w="120"/>
              <w:left w:type="dxa" w:w="180"/>
              <w:bottom w:type="dxa" w:w="120"/>
              <w:right w:type="dxa" w:w="120"/>
            </w:tcMar>
          </w:tcPr>
          <w:p>
            <w:pPr>
              <w:spacing w:after="40" w:before="0"/>
            </w:pPr>
            <w:r>
              <w:rPr>
                <w:rFonts w:ascii="Arial" w:cs="Arial" w:eastAsia="Arial" w:hAnsi="Arial"/>
                <w:b/>
                <w:bCs/>
                <w:color w:val="C9A84C"/>
                <w:sz w:val="20"/>
                <w:szCs w:val="20"/>
              </w:rPr>
              <w:t xml:space="preserve">Important Notice</w:t>
            </w:r>
          </w:p>
          <w:p>
            <w:pPr>
              <w:spacing w:after="0" w:before="0"/>
            </w:pPr>
            <w:r>
              <w:rPr>
                <w:rFonts w:ascii="Arial" w:cs="Arial" w:eastAsia="Arial" w:hAnsi="Arial"/>
                <w:sz w:val="19"/>
                <w:szCs w:val="19"/>
              </w:rPr>
              <w:t xml:space="preserve">This document is a research-grade clinical analysis prepared by an AI system to support informed discussion between the patient's family and their treating medical team. It is not a prescription, a medical opinion, or a substitute for consultation with a licensed physician, haematologist, or oncologist. All treatment decisions must be made by qualified medical professionals in the context of the full clinical picture, locally available resources, patient preferences, and ethical considerations. Drug dosing, availability, clinical trial eligibility, and regulatory status may change after the preparation date of this report (April 2026).</w:t>
            </w:r>
          </w:p>
        </w:tc>
      </w:tr>
    </w:tbl>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1"/>
      </w:pBdr>
      <w:spacing w:before="100"/>
    </w:pPr>
    <w:r>
      <w:rPr>
        <w:rFonts w:ascii="Arial" w:cs="Arial" w:eastAsia="Arial" w:hAnsi="Arial"/>
        <w:color w:val="888888"/>
        <w:sz w:val="16"/>
        <w:szCs w:val="16"/>
      </w:rPr>
      <w:t xml:space="preserve">Prepared April 2026  |  Based on EHR records through August 2025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1"/>
      </w:pBdr>
      <w:spacing w:after="100" w:before="0"/>
    </w:pPr>
    <w:r>
      <w:rPr>
        <w:rFonts w:ascii="Arial" w:cs="Arial" w:eastAsia="Arial" w:hAnsi="Arial"/>
        <w:color w:val="888888"/>
        <w:sz w:val="16"/>
        <w:szCs w:val="16"/>
      </w:rPr>
      <w:t xml:space="preserve">Multiple Myeloma Treatment Analysis — Vipan Kumar Garg  </w:t>
    </w:r>
    <w:r>
      <w:rPr>
        <w:rFonts w:ascii="Arial" w:cs="Arial" w:eastAsia="Arial" w:hAnsi="Arial"/>
        <w:b/>
        <w:bCs/>
        <w:color w:val="C0392B"/>
        <w:sz w:val="16"/>
        <w:szCs w:val="16"/>
      </w:rPr>
      <w:t xml:space="preserve">CONFIDENTIAL — FOR MEDICAL DISCUSSION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36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E5F8C"/>
      <w:sz w:val="26"/>
      <w:szCs w:val="26"/>
    </w:rPr>
  </w:style>
  <w:style w:type="paragraph" w:styleId="Heading3">
    <w:name w:val="Heading 3"/>
    <w:basedOn w:val="Normal"/>
    <w:next w:val="Normal"/>
    <w:qFormat/>
    <w:pPr>
      <w:spacing w:after="60" w:before="160"/>
      <w:outlineLvl w:val="2"/>
    </w:pPr>
    <w:rPr>
      <w:rFonts w:ascii="Arial" w:cs="Arial" w:eastAsia="Arial" w:hAnsi="Arial"/>
      <w:b/>
      <w:bCs/>
      <w:color w:val="1F3864"/>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ofbctzscyfrwssmzswugv" Type="http://schemas.openxmlformats.org/officeDocument/2006/relationships/hyperlink" Target="https://www.thelancet.com/journals/lanonc/article/PIIS1470-2045(25)00653-9/fulltext" TargetMode="External"/><Relationship Id="rIdvoasjkw6iyvfivfdwls-h" Type="http://schemas.openxmlformats.org/officeDocument/2006/relationships/hyperlink" Target="https://www.onclive.com/view/cilta-cel-generates-os-benefit-in-r-r-myeloma-after-1-prior-therapy" TargetMode="External"/><Relationship Id="rIdjvgofoco3cyhrjvz50kyi" Type="http://schemas.openxmlformats.org/officeDocument/2006/relationships/hyperlink" Target="https://www.clinical-lymphoma-myeloma-leukemia.com/article/S2152-2650(26)00027-3/abstract" TargetMode="External"/><Relationship Id="rId9ynfmgnnt7wofaydy7ajv" Type="http://schemas.openxmlformats.org/officeDocument/2006/relationships/hyperlink" Target="https://www.kidneymedicinejournal.org/article/S2590-0595(24)00067-0/fulltext" TargetMode="External"/><Relationship Id="rIdk3nf5d3lue8eif4ahczhl" Type="http://schemas.openxmlformats.org/officeDocument/2006/relationships/hyperlink" Target="https://www.dana-farber.org/for-physicians/clinical-resources/hematologic-malignancies/advances-newsletter/2025-issue-20/multiple-myeloma-cart-t-cell-therapy-update" TargetMode="External"/><Relationship Id="rId-jq2qlyiz02vtwihti_gs" Type="http://schemas.openxmlformats.org/officeDocument/2006/relationships/hyperlink" Target="https://www.mdpi.com/2072-6694/18/5/740" TargetMode="External"/><Relationship Id="rIdchhvhvcmmke1fgaa1js5y" Type="http://schemas.openxmlformats.org/officeDocument/2006/relationships/hyperlink" Target="https://ashpublications.org/ashclinicalnews/news/8464/Teclistamab-Safe-for-Treating-Patients-with-R-R-MM" TargetMode="External"/><Relationship Id="rIdrwepkodvkhumhdewbjv_h" Type="http://schemas.openxmlformats.org/officeDocument/2006/relationships/hyperlink" Target="https://pmc.ncbi.nlm.nih.gov/articles/PMC12811975/" TargetMode="External"/><Relationship Id="rIdgzsib3tknubks7h1qazvp" Type="http://schemas.openxmlformats.org/officeDocument/2006/relationships/hyperlink" Target="https://www.ajmc.com/view/bispecific-antibody-efficacy-and-safety-in-multiple-myeloma-updates-from-ash-2025" TargetMode="External"/><Relationship Id="rIdgpalcsqmx8qdsrk5zgfls" Type="http://schemas.openxmlformats.org/officeDocument/2006/relationships/hyperlink" Target="https://www.fda.gov/drugs/resources-information-approved-drugs/fda-grants-accelerated-approval-linvoseltamab-gcpt-relapsed-or-refractory-multiple-myeloma" TargetMode="External"/><Relationship Id="rIdupqzbeb4qx6_pmxsxeve0" Type="http://schemas.openxmlformats.org/officeDocument/2006/relationships/hyperlink" Target="https://link.springer.com/article/10.1007/s00277-025-06689-0" TargetMode="External"/><Relationship Id="rIdym5ymh76zkyr3gc5fvjra" Type="http://schemas.openxmlformats.org/officeDocument/2006/relationships/hyperlink" Target="https://pubmed.ncbi.nlm.nih.gov/38828951/" TargetMode="External"/><Relationship Id="rIddj75jnezykk0g-fnsnado" Type="http://schemas.openxmlformats.org/officeDocument/2006/relationships/hyperlink" Target="https://ashpublications.org/blood/article/146/Supplement%201/2264/553302/" TargetMode="External"/><Relationship Id="rIdampjebbishsdepprvywtt" Type="http://schemas.openxmlformats.org/officeDocument/2006/relationships/hyperlink" Target="https://ascopubs.org/doi/10.1200/JCO.2025.43.16_suppl.7533" TargetMode="External"/><Relationship Id="rIdhww8ydem7rwdxcaiveguw" Type="http://schemas.openxmlformats.org/officeDocument/2006/relationships/hyperlink" Target="https://www.thelancet.com/journals/lanhae/article/PIIS2352-3026(25)00256-X/abstract" TargetMode="External"/><Relationship Id="rIdqwosxcop5zam6xduppflf" Type="http://schemas.openxmlformats.org/officeDocument/2006/relationships/hyperlink" Target="https://haematologica.org/article/view/haematol.2023.284325" TargetMode="External"/><Relationship Id="rIdgo8qlbwagsao9gmvnllzh" Type="http://schemas.openxmlformats.org/officeDocument/2006/relationships/hyperlink" Target="https://www.nature.com/articles/s41375-020-0868-z" TargetMode="External"/><Relationship Id="rIdvtyzah1omtk7xcm2b-eac" Type="http://schemas.openxmlformats.org/officeDocument/2006/relationships/hyperlink" Target="https://www.nature.com/articles/s41408-023-00797-8" TargetMode="External"/><Relationship Id="rIdzsrhabj7ezbkb2mjxjjh8" Type="http://schemas.openxmlformats.org/officeDocument/2006/relationships/hyperlink" Target="https://www.nejm.org/doi/full/10.1056/NEJMoa2303194" TargetMode="External"/><Relationship Id="rId3c2wa11wrhs0gvx9ql0f7" Type="http://schemas.openxmlformats.org/officeDocument/2006/relationships/hyperlink" Target="https://www.myeloma.org/news-events/multiple-myeloma-news/phase-3-trial-success-for-mezigdomide-in-myeloma" TargetMode="External"/><Relationship Id="rIdupzubt9djuthgx78oesk7" Type="http://schemas.openxmlformats.org/officeDocument/2006/relationships/hyperlink" Target="https://multiplemyelomahub.com/medical-information/celmods-for-the-treatment-of-mm-latest-clinical-trial-data" TargetMode="External"/><Relationship Id="rIdiokaizm2v6j0e2zt-owcl" Type="http://schemas.openxmlformats.org/officeDocument/2006/relationships/hyperlink" Target="https://www.nature.com/articles/s41408-024-00985-0" TargetMode="External"/><Relationship Id="rId5dtzcidjdmbbykar4jzlv" Type="http://schemas.openxmlformats.org/officeDocument/2006/relationships/hyperlink" Target="https://pmc.ncbi.nlm.nih.gov/articles/PMC12153879/" TargetMode="External"/><Relationship Id="rIducnfq5aqrd722kwbxjq8p" Type="http://schemas.openxmlformats.org/officeDocument/2006/relationships/hyperlink" Target="https://link.springer.com/article/10.1007/s00277-024-06164-2" TargetMode="External"/><Relationship Id="rIdi2hi7upezx74cnqzf8kcx" Type="http://schemas.openxmlformats.org/officeDocument/2006/relationships/hyperlink" Target="https://www.sciencedirect.com/science/article/abs/pii/S2152265025000217" TargetMode="External"/><Relationship Id="rIdkooarfxj10miz2qfndxnh" Type="http://schemas.openxmlformats.org/officeDocument/2006/relationships/hyperlink" Target="https://www.thelancet.com/journals/lanonc/article/PIIS1470-2045(23)00223-1/abstract" TargetMode="External"/><Relationship Id="rIdzuy6hxftkrkqsz7duqmyy" Type="http://schemas.openxmlformats.org/officeDocument/2006/relationships/hyperlink" Target="https://www.onclive.com/view/pomalidomide-effective-in-multiple-myeloma-with-renal-impairment" TargetMode="External"/><Relationship Id="rId1kt-mbt899ogmnlqhxqch" Type="http://schemas.openxmlformats.org/officeDocument/2006/relationships/hyperlink" Target="https://www.clinical-lymphoma-myeloma-leukemia.com/article/S2152-2650(24)00265-9/fulltext" TargetMode="External"/><Relationship Id="rIdxvt5uuzjqgmohyrxnzxnr" Type="http://schemas.openxmlformats.org/officeDocument/2006/relationships/hyperlink" Target="https://www.sciencedirect.com/science/article/abs/pii/S2152265019315836" TargetMode="External"/><Relationship Id="rId3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2026-04-01T12:58:50.439Z</dcterms:created>
  <dcterms:modified xsi:type="dcterms:W3CDTF">2026-04-01T12:58:50.439Z</dcterms:modified>
</cp:coreProperties>
</file>

<file path=docProps/custom.xml><?xml version="1.0" encoding="utf-8"?>
<Properties xmlns="http://schemas.openxmlformats.org/officeDocument/2006/custom-properties" xmlns:vt="http://schemas.openxmlformats.org/officeDocument/2006/docPropsVTypes"/>
</file>