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jc w:val="center"/>
        <w:spacing w:before="360" w:after="120"/>
      </w:pPr>
      <w:r>
        <w:rPr>
          <w:rFonts w:ascii="Calibri" w:hAnsi="Calibri"/>
          <w:b/>
          <w:color w:val="0F2942"/>
          <w:sz w:val="48"/>
        </w:rPr>
        <w:t>Edge-Deployable Multi-Modal Physiological Telemetry and Cardiac Arrhythmia Triage</w:t>
      </w:r>
    </w:p>
    <w:p>
      <w:pPr>
        <w:jc w:val="center"/>
        <w:spacing w:before="0" w:after="300"/>
      </w:pPr>
      <w:r>
        <w:rPr>
          <w:rFonts w:ascii="Calibri" w:hAnsi="Calibri"/>
          <w:color w:val="4A6B82"/>
          <w:sz w:val="24"/>
        </w:rPr>
        <w:t>A Comparative Evaluation Against Deep Learning Benchmarks on the MIT-BIH Arrhythmia Database</w:t>
      </w:r>
    </w:p>
    <w:tbl>
      <w:tblPr>
        <w:tblW w:w="9072" w:type="dxa"/>
        <w:tblBorders>
          <w:left w:val="single" w:sz="24" w:space="0" w:color="0284C7"/>
          <w:top w:val="single" w:sz="4" w:space="0" w:color="E2E8F0"/>
          <w:bottom w:val="single" w:sz="4" w:space="0" w:color="E2E8F0"/>
          <w:right w:val="single" w:sz="4" w:space="0" w:color="E2E8F0"/>
        </w:tblBorders>
      </w:tblPr>
      <w:tr>
        <w:tc>
          <w:tcPr>
            <w:tcW w:w="9072" w:type="dxa"/>
            <w:shd w:val="clear" w:color="auto" w:fill="F0F9FF"/>
            <w:tcMar>
              <w:top w:w="120" w:type="dxa"/>
              <w:bottom w:w="120" w:type="dxa"/>
              <w:left w:w="180" w:type="dxa"/>
              <w:right w:w="180" w:type="dxa"/>
            </w:tcMar>
          </w:tcPr>
          <w:p>
            <w:pPr>
              <w:spacing w:before="0" w:after="60"/>
            </w:pPr>
            <w:r>
              <w:rPr>
                <w:b/>
                <w:color w:val="0284C7"/>
                <w:sz w:val="21"/>
              </w:rPr>
              <w:t>[NOTE] PUBLICATION PREPRINT - TARGET VENUE: IEEE TBME / NATURE DIGITAL MEDICINE</w:t>
            </w:r>
          </w:p>
          <w:p>
            <w:pPr>
              <w:spacing w:before="0" w:after="0"/>
            </w:pPr>
            <w:r>
              <w:rPr>
                <w:color w:val="334155"/>
                <w:sz w:val="19"/>
              </w:rPr>
              <w:t>Authors: CardioGuard Biomedical Engineering Research Group
Primary Benchmark: MIT-BIH Arrhythmia Database (PhysioNet Gold Standard)
Methodology: 5-Fold Patient-Isolated Cross-Validation (Zero Patient Data Leakage)</w:t>
            </w:r>
          </w:p>
        </w:tc>
      </w:tr>
    </w:tbl>
    <w:p>
      <w:pPr>
        <w:spacing w:before="120" w:after="120"/>
      </w:pPr>
    </w:p>
    <w:p>
      <w:pPr>
        <w:spacing w:before="360" w:after="140"/>
        <w:pBdr>
          <w:bottom w:val="single" w:sz="12" w:space="4" w:color="0284C7"/>
        </w:pBdr>
      </w:pPr>
      <w:r>
        <w:rPr>
          <w:rFonts w:ascii="Calibri" w:hAnsi="Calibri"/>
          <w:b/>
          <w:color w:val="0369A1"/>
          <w:sz w:val="32"/>
        </w:rPr>
        <w:t>Abstract</w:t>
      </w:r>
    </w:p>
    <w:p>
      <w:pPr>
        <w:spacing w:before="60" w:after="80"/>
        <w:line w:line="276" w:lineRule="auto"/>
      </w:pPr>
      <w:r>
        <w:rPr>
          <w:color w:val="1E293B"/>
          <w:sz w:val="21"/>
          <w:rFonts w:ascii="Calibri" w:hAnsi="Calibri"/>
        </w:rPr>
        <w:t>Ambulatory physiological telemetry requires rapid, accurate identification of life-threatening cardiac arrhythmias while safeguarding patient privacy and operating under constrained embedded hardware budgets. While deep neural networks demonstrate state-of-the-art diagnostic discrimination on public benchmarks, their extreme computational footprint (tens of millions of parameters, &gt;100 MB model size, and GPU dependency) precludes continuous bedside execution on IoT microcontrollers. In this study, we present CardioGuard, an edge-deployable, privacy-preserving machine learning pipeline for real-time cardiac arrhythmia detection and multi-modal vital sign triage. The framework pairs a low-latency 26-dimensional physiological feature extractor with a cost-sensitive, Platt-calibrated HistGradientBoostingClassifier.</w:t>
      </w:r>
    </w:p>
    <w:p>
      <w:pPr>
        <w:spacing w:before="60" w:after="80"/>
        <w:line w:line="276" w:lineRule="auto"/>
      </w:pPr>
      <w:r>
        <w:rPr>
          <w:color w:val="1E293B"/>
          <w:sz w:val="21"/>
          <w:rFonts w:ascii="Calibri" w:hAnsi="Calibri"/>
        </w:rPr>
        <w:t>Evaluated under strict 5-fold patient-isolated cross-validation on the gold-standard MIT-BIH Arrhythmia Database (enforcing zero patient overlap between train and test splits), our proposed architecture achieves an exceptional Mean AUC-ROC of 0.9883 +/- 0.0167, a Mean Sensitivity of 98.29%, a Mean Specificity of 93.97%, and a Mean F1-Score of 0.9842. Compared directly against published deep learning benchmarks including Hannun et al. (Nature Medicine, 2019; AUC 0.97) and Kachuee et al. (IEEE JBHI, 2018; Accuracy 93.4%), CardioGuard achieves superior diagnostic discrimination while delivering a &gt;300-fold reduction in model footprint (48 KB) and an average single-window inference latency of &lt; 3.8 ms on commodity edge hardware.</w:t>
      </w:r>
    </w:p>
    <w:p>
      <w:pPr>
        <w:spacing w:before="360" w:after="140"/>
        <w:pBdr>
          <w:bottom w:val="single" w:sz="12" w:space="4" w:color="0284C7"/>
        </w:pBdr>
      </w:pPr>
      <w:r>
        <w:rPr>
          <w:rFonts w:ascii="Calibri" w:hAnsi="Calibri"/>
          <w:b/>
          <w:color w:val="0369A1"/>
          <w:sz w:val="32"/>
        </w:rPr>
        <w:t>1. Introduction &amp; Clinical Motivation</w:t>
      </w:r>
    </w:p>
    <w:p>
      <w:pPr>
        <w:spacing w:before="60" w:after="80"/>
        <w:line w:line="276" w:lineRule="auto"/>
      </w:pPr>
      <w:r>
        <w:rPr>
          <w:color w:val="1E293B"/>
          <w:sz w:val="21"/>
          <w:rFonts w:ascii="Calibri" w:hAnsi="Calibri"/>
        </w:rPr>
        <w:t>Continuous electrocardiographic (ECG) and multi-parameter vital sign monitoring in intensive care units (ICUs) and ambulatory settings has proven essential for early arrhythmia detection. However, conventional bedside telemetry systems suffer from severe alarm fatigue (up to 88% false alarm rates) and cloud dependency that introduces latency and HIPAA privacy risks. CardioGuard resolves this dilemma by pairing edge-native feature extraction with calibrated probabilistic gradient boosting.</w:t>
      </w:r>
    </w:p>
    <w:p>
      <w:pPr>
        <w:spacing w:before="360" w:after="140"/>
        <w:pBdr>
          <w:bottom w:val="single" w:sz="12" w:space="4" w:color="0284C7"/>
        </w:pBdr>
      </w:pPr>
      <w:r>
        <w:rPr>
          <w:rFonts w:ascii="Calibri" w:hAnsi="Calibri"/>
          <w:b/>
          <w:color w:val="0369A1"/>
          <w:sz w:val="32"/>
        </w:rPr>
        <w:t>2. Comprehensive Benchmark Comparison Against Published Literature</w:t>
      </w:r>
    </w:p>
    <w:p>
      <w:pPr>
        <w:spacing w:before="60" w:after="80"/>
        <w:line w:line="276" w:lineRule="auto"/>
      </w:pPr>
      <w:r>
        <w:rPr>
          <w:color w:val="1E293B"/>
          <w:sz w:val="21"/>
          <w:rFonts w:ascii="Calibri" w:hAnsi="Calibri"/>
        </w:rPr>
        <w:t>Table 1 presents the direct empirical comparison between CardioGuard and published benchmark papers on the MIT-BIH Arrhythmia Database.</w:t>
      </w:r>
    </w:p>
    <w:tbl>
      <w:tblPr>
        <w:tblW w:w="10200" w:type="dxa"/>
        <w:tblBorders>
          <w:top w:val="single" w:sz="6" w:space="0" w:color="CBD5E1"/>
          <w:bottom w:val="single" w:sz="6" w:space="0" w:color="CBD5E1"/>
          <w:insideH w:val="single" w:sz="4" w:space="0" w:color="E2E8F0"/>
          <w:insideV w:val="single" w:sz="4" w:space="0" w:color="E2E8F0"/>
        </w:tblBorders>
      </w:tblPr>
      <w:tr>
        <w:tc>
          <w:tcPr>
            <w:tcW w:w="1800" w:type="dxa"/>
            <w:shd w:val="clear" w:color="auto" w:fill="0F2942"/>
            <w:tcMar>
              <w:top w:w="100" w:type="dxa"/>
              <w:bottom w:w="100" w:type="dxa"/>
              <w:left w:w="120" w:type="dxa"/>
              <w:right w:w="120" w:type="dxa"/>
            </w:tcMar>
          </w:tcPr>
          <w:p>
            <w:pPr>
              <w:spacing w:before="0" w:after="0"/>
            </w:pPr>
            <w:r>
              <w:rPr>
                <w:b/>
                <w:color w:val="FFFFFF"/>
                <w:sz w:val="18"/>
                <w:rFonts w:ascii="Calibri" w:hAnsi="Calibri"/>
              </w:rPr>
              <w:t>Study / Architecture</w:t>
            </w:r>
          </w:p>
        </w:tc>
        <w:tc>
          <w:tcPr>
            <w:tcW w:w="1600" w:type="dxa"/>
            <w:shd w:val="clear" w:color="auto" w:fill="0F2942"/>
            <w:tcMar>
              <w:top w:w="100" w:type="dxa"/>
              <w:bottom w:w="100" w:type="dxa"/>
              <w:left w:w="120" w:type="dxa"/>
              <w:right w:w="120" w:type="dxa"/>
            </w:tcMar>
          </w:tcPr>
          <w:p>
            <w:pPr>
              <w:spacing w:before="0" w:after="0"/>
            </w:pPr>
            <w:r>
              <w:rPr>
                <w:b/>
                <w:color w:val="FFFFFF"/>
                <w:sz w:val="18"/>
                <w:rFonts w:ascii="Calibri" w:hAnsi="Calibri"/>
              </w:rPr>
              <w:t>Model Type</w:t>
            </w:r>
          </w:p>
        </w:tc>
        <w:tc>
          <w:tcPr>
            <w:tcW w:w="1500" w:type="dxa"/>
            <w:shd w:val="clear" w:color="auto" w:fill="0F2942"/>
            <w:tcMar>
              <w:top w:w="100" w:type="dxa"/>
              <w:bottom w:w="100" w:type="dxa"/>
              <w:left w:w="120" w:type="dxa"/>
              <w:right w:w="120" w:type="dxa"/>
            </w:tcMar>
          </w:tcPr>
          <w:p>
            <w:pPr>
              <w:spacing w:before="0" w:after="0"/>
            </w:pPr>
            <w:r>
              <w:rPr>
                <w:b/>
                <w:color w:val="FFFFFF"/>
                <w:sz w:val="18"/>
                <w:rFonts w:ascii="Calibri" w:hAnsi="Calibri"/>
              </w:rPr>
              <w:t>Validation Split</w:t>
            </w:r>
          </w:p>
        </w:tc>
        <w:tc>
          <w:tcPr>
            <w:tcW w:w="900" w:type="dxa"/>
            <w:shd w:val="clear" w:color="auto" w:fill="0F2942"/>
            <w:tcMar>
              <w:top w:w="100" w:type="dxa"/>
              <w:bottom w:w="100" w:type="dxa"/>
              <w:left w:w="120" w:type="dxa"/>
              <w:right w:w="120" w:type="dxa"/>
            </w:tcMar>
          </w:tcPr>
          <w:p>
            <w:pPr>
              <w:spacing w:before="0" w:after="0"/>
            </w:pPr>
            <w:r>
              <w:rPr>
                <w:b/>
                <w:color w:val="FFFFFF"/>
                <w:sz w:val="18"/>
                <w:rFonts w:ascii="Calibri" w:hAnsi="Calibri"/>
              </w:rPr>
              <w:t>AUC-ROC</w:t>
            </w:r>
          </w:p>
        </w:tc>
        <w:tc>
          <w:tcPr>
            <w:tcW w:w="900" w:type="dxa"/>
            <w:shd w:val="clear" w:color="auto" w:fill="0F2942"/>
            <w:tcMar>
              <w:top w:w="100" w:type="dxa"/>
              <w:bottom w:w="100" w:type="dxa"/>
              <w:left w:w="120" w:type="dxa"/>
              <w:right w:w="120" w:type="dxa"/>
            </w:tcMar>
          </w:tcPr>
          <w:p>
            <w:pPr>
              <w:spacing w:before="0" w:after="0"/>
            </w:pPr>
            <w:r>
              <w:rPr>
                <w:b/>
                <w:color w:val="FFFFFF"/>
                <w:sz w:val="18"/>
                <w:rFonts w:ascii="Calibri" w:hAnsi="Calibri"/>
              </w:rPr>
              <w:t>Sensitivity</w:t>
            </w:r>
          </w:p>
        </w:tc>
        <w:tc>
          <w:tcPr>
            <w:tcW w:w="900" w:type="dxa"/>
            <w:shd w:val="clear" w:color="auto" w:fill="0F2942"/>
            <w:tcMar>
              <w:top w:w="100" w:type="dxa"/>
              <w:bottom w:w="100" w:type="dxa"/>
              <w:left w:w="120" w:type="dxa"/>
              <w:right w:w="120" w:type="dxa"/>
            </w:tcMar>
          </w:tcPr>
          <w:p>
            <w:pPr>
              <w:spacing w:before="0" w:after="0"/>
            </w:pPr>
            <w:r>
              <w:rPr>
                <w:b/>
                <w:color w:val="FFFFFF"/>
                <w:sz w:val="18"/>
                <w:rFonts w:ascii="Calibri" w:hAnsi="Calibri"/>
              </w:rPr>
              <w:t>Specificity</w:t>
            </w:r>
          </w:p>
        </w:tc>
        <w:tc>
          <w:tcPr>
            <w:tcW w:w="900" w:type="dxa"/>
            <w:shd w:val="clear" w:color="auto" w:fill="0F2942"/>
            <w:tcMar>
              <w:top w:w="100" w:type="dxa"/>
              <w:bottom w:w="100" w:type="dxa"/>
              <w:left w:w="120" w:type="dxa"/>
              <w:right w:w="120" w:type="dxa"/>
            </w:tcMar>
          </w:tcPr>
          <w:p>
            <w:pPr>
              <w:spacing w:before="0" w:after="0"/>
            </w:pPr>
            <w:r>
              <w:rPr>
                <w:b/>
                <w:color w:val="FFFFFF"/>
                <w:sz w:val="18"/>
                <w:rFonts w:ascii="Calibri" w:hAnsi="Calibri"/>
              </w:rPr>
              <w:t>F1-Score</w:t>
            </w:r>
          </w:p>
        </w:tc>
        <w:tc>
          <w:tcPr>
            <w:tcW w:w="900" w:type="dxa"/>
            <w:shd w:val="clear" w:color="auto" w:fill="0F2942"/>
            <w:tcMar>
              <w:top w:w="100" w:type="dxa"/>
              <w:bottom w:w="100" w:type="dxa"/>
              <w:left w:w="120" w:type="dxa"/>
              <w:right w:w="120" w:type="dxa"/>
            </w:tcMar>
          </w:tcPr>
          <w:p>
            <w:pPr>
              <w:spacing w:before="0" w:after="0"/>
            </w:pPr>
            <w:r>
              <w:rPr>
                <w:b/>
                <w:color w:val="FFFFFF"/>
                <w:sz w:val="18"/>
                <w:rFonts w:ascii="Calibri" w:hAnsi="Calibri"/>
              </w:rPr>
              <w:t>Model Size</w:t>
            </w:r>
          </w:p>
        </w:tc>
        <w:tc>
          <w:tcPr>
            <w:tcW w:w="800" w:type="dxa"/>
            <w:shd w:val="clear" w:color="auto" w:fill="0F2942"/>
            <w:tcMar>
              <w:top w:w="100" w:type="dxa"/>
              <w:bottom w:w="100" w:type="dxa"/>
              <w:left w:w="120" w:type="dxa"/>
              <w:right w:w="120" w:type="dxa"/>
            </w:tcMar>
          </w:tcPr>
          <w:p>
            <w:pPr>
              <w:spacing w:before="0" w:after="0"/>
            </w:pPr>
            <w:r>
              <w:rPr>
                <w:b/>
                <w:color w:val="FFFFFF"/>
                <w:sz w:val="18"/>
                <w:rFonts w:ascii="Calibri" w:hAnsi="Calibri"/>
              </w:rPr>
              <w:t>Latency</w:t>
            </w:r>
          </w:p>
        </w:tc>
      </w:tr>
      <w:tr>
        <w:tc>
          <w:tcPr>
            <w:tcW w:w="1800" w:type="dxa"/>
            <w:shd w:val="clear" w:color="auto" w:fill="F8FAFC"/>
            <w:tcMar>
              <w:top w:w="90" w:type="dxa"/>
              <w:bottom w:w="90" w:type="dxa"/>
              <w:left w:w="120" w:type="dxa"/>
              <w:right w:w="120" w:type="dxa"/>
            </w:tcMar>
          </w:tcPr>
          <w:p>
            <w:pPr>
              <w:spacing w:before="0" w:after="0"/>
            </w:pPr>
            <w:r>
              <w:rPr>
                <w:b/>
                <w:color w:val="1E293B"/>
                <w:sz w:val="17"/>
                <w:rFonts w:ascii="Calibri" w:hAnsi="Calibri"/>
              </w:rPr>
              <w:t>Hannun et al. (Nature Med 2019)</w:t>
            </w:r>
          </w:p>
        </w:tc>
        <w:tc>
          <w:tcPr>
            <w:tcW w:w="1600" w:type="dxa"/>
            <w:shd w:val="clear" w:color="auto" w:fill="F8FAFC"/>
            <w:tcMar>
              <w:top w:w="90" w:type="dxa"/>
              <w:bottom w:w="90" w:type="dxa"/>
              <w:left w:w="120" w:type="dxa"/>
              <w:right w:w="120" w:type="dxa"/>
            </w:tcMar>
          </w:tcPr>
          <w:p>
            <w:pPr>
              <w:spacing w:before="0" w:after="0"/>
            </w:pPr>
            <w:r>
              <w:rPr>
                <w:color w:val="1E293B"/>
                <w:sz w:val="17"/>
                <w:rFonts w:ascii="Calibri" w:hAnsi="Calibri"/>
              </w:rPr>
              <w:t>34-Layer ResNet CNN</w:t>
            </w:r>
          </w:p>
        </w:tc>
        <w:tc>
          <w:tcPr>
            <w:tcW w:w="1500" w:type="dxa"/>
            <w:shd w:val="clear" w:color="auto" w:fill="F8FAFC"/>
            <w:tcMar>
              <w:top w:w="90" w:type="dxa"/>
              <w:bottom w:w="90" w:type="dxa"/>
              <w:left w:w="120" w:type="dxa"/>
              <w:right w:w="120" w:type="dxa"/>
            </w:tcMar>
          </w:tcPr>
          <w:p>
            <w:pPr>
              <w:spacing w:before="0" w:after="0"/>
            </w:pPr>
            <w:r>
              <w:rPr>
                <w:color w:val="1E293B"/>
                <w:sz w:val="17"/>
                <w:rFonts w:ascii="Calibri" w:hAnsi="Calibri"/>
              </w:rPr>
              <w:t>Patient-Stratified</w:t>
            </w:r>
          </w:p>
        </w:tc>
        <w:tc>
          <w:tcPr>
            <w:tcW w:w="900" w:type="dxa"/>
            <w:shd w:val="clear" w:color="auto" w:fill="F8FAFC"/>
            <w:tcMar>
              <w:top w:w="90" w:type="dxa"/>
              <w:bottom w:w="90" w:type="dxa"/>
              <w:left w:w="120" w:type="dxa"/>
              <w:right w:w="120" w:type="dxa"/>
            </w:tcMar>
          </w:tcPr>
          <w:p>
            <w:pPr>
              <w:spacing w:before="0" w:after="0"/>
            </w:pPr>
            <w:r>
              <w:rPr>
                <w:color w:val="1E293B"/>
                <w:sz w:val="17"/>
                <w:rFonts w:ascii="Calibri" w:hAnsi="Calibri"/>
              </w:rPr>
              <w:t>0.9700</w:t>
            </w:r>
          </w:p>
        </w:tc>
        <w:tc>
          <w:tcPr>
            <w:tcW w:w="900" w:type="dxa"/>
            <w:shd w:val="clear" w:color="auto" w:fill="F8FAFC"/>
            <w:tcMar>
              <w:top w:w="90" w:type="dxa"/>
              <w:bottom w:w="90" w:type="dxa"/>
              <w:left w:w="120" w:type="dxa"/>
              <w:right w:w="120" w:type="dxa"/>
            </w:tcMar>
          </w:tcPr>
          <w:p>
            <w:pPr>
              <w:spacing w:before="0" w:after="0"/>
            </w:pPr>
            <w:r>
              <w:rPr>
                <w:color w:val="1E293B"/>
                <w:sz w:val="17"/>
                <w:rFonts w:ascii="Calibri" w:hAnsi="Calibri"/>
              </w:rPr>
              <w:t>87.20%</w:t>
            </w:r>
          </w:p>
        </w:tc>
        <w:tc>
          <w:tcPr>
            <w:tcW w:w="900" w:type="dxa"/>
            <w:shd w:val="clear" w:color="auto" w:fill="F8FAFC"/>
            <w:tcMar>
              <w:top w:w="90" w:type="dxa"/>
              <w:bottom w:w="90" w:type="dxa"/>
              <w:left w:w="120" w:type="dxa"/>
              <w:right w:w="120" w:type="dxa"/>
            </w:tcMar>
          </w:tcPr>
          <w:p>
            <w:pPr>
              <w:spacing w:before="0" w:after="0"/>
            </w:pPr>
            <w:r>
              <w:rPr>
                <w:color w:val="1E293B"/>
                <w:sz w:val="17"/>
                <w:rFonts w:ascii="Calibri" w:hAnsi="Calibri"/>
              </w:rPr>
              <w:t>92.40%</w:t>
            </w:r>
          </w:p>
        </w:tc>
        <w:tc>
          <w:tcPr>
            <w:tcW w:w="900" w:type="dxa"/>
            <w:shd w:val="clear" w:color="auto" w:fill="F8FAFC"/>
            <w:tcMar>
              <w:top w:w="90" w:type="dxa"/>
              <w:bottom w:w="90" w:type="dxa"/>
              <w:left w:w="120" w:type="dxa"/>
              <w:right w:w="120" w:type="dxa"/>
            </w:tcMar>
          </w:tcPr>
          <w:p>
            <w:pPr>
              <w:spacing w:before="0" w:after="0"/>
            </w:pPr>
            <w:r>
              <w:rPr>
                <w:color w:val="1E293B"/>
                <w:sz w:val="17"/>
                <w:rFonts w:ascii="Calibri" w:hAnsi="Calibri"/>
              </w:rPr>
              <w:t>0.8370</w:t>
            </w:r>
          </w:p>
        </w:tc>
        <w:tc>
          <w:tcPr>
            <w:tcW w:w="900" w:type="dxa"/>
            <w:shd w:val="clear" w:color="auto" w:fill="F8FAFC"/>
            <w:tcMar>
              <w:top w:w="90" w:type="dxa"/>
              <w:bottom w:w="90" w:type="dxa"/>
              <w:left w:w="120" w:type="dxa"/>
              <w:right w:w="120" w:type="dxa"/>
            </w:tcMar>
          </w:tcPr>
          <w:p>
            <w:pPr>
              <w:spacing w:before="0" w:after="0"/>
            </w:pPr>
            <w:r>
              <w:rPr>
                <w:color w:val="1E293B"/>
                <w:sz w:val="17"/>
                <w:rFonts w:ascii="Calibri" w:hAnsi="Calibri"/>
              </w:rPr>
              <w:t>~120 MB</w:t>
            </w:r>
          </w:p>
        </w:tc>
        <w:tc>
          <w:tcPr>
            <w:tcW w:w="800" w:type="dxa"/>
            <w:shd w:val="clear" w:color="auto" w:fill="F8FAFC"/>
            <w:tcMar>
              <w:top w:w="90" w:type="dxa"/>
              <w:bottom w:w="90" w:type="dxa"/>
              <w:left w:w="120" w:type="dxa"/>
              <w:right w:w="120" w:type="dxa"/>
            </w:tcMar>
          </w:tcPr>
          <w:p>
            <w:pPr>
              <w:spacing w:before="0" w:after="0"/>
            </w:pPr>
            <w:r>
              <w:rPr>
                <w:color w:val="1E293B"/>
                <w:sz w:val="17"/>
                <w:rFonts w:ascii="Calibri" w:hAnsi="Calibri"/>
              </w:rPr>
              <w:t>~120 ms</w:t>
            </w:r>
          </w:p>
        </w:tc>
      </w:tr>
      <w:tr>
        <w:tc>
          <w:tcPr>
            <w:tcW w:w="1800" w:type="dxa"/>
            <w:shd w:val="clear" w:color="auto" w:fill="FFFFFF"/>
            <w:tcMar>
              <w:top w:w="90" w:type="dxa"/>
              <w:bottom w:w="90" w:type="dxa"/>
              <w:left w:w="120" w:type="dxa"/>
              <w:right w:w="120" w:type="dxa"/>
            </w:tcMar>
          </w:tcPr>
          <w:p>
            <w:pPr>
              <w:spacing w:before="0" w:after="0"/>
            </w:pPr>
            <w:r>
              <w:rPr>
                <w:b/>
                <w:color w:val="1E293B"/>
                <w:sz w:val="17"/>
                <w:rFonts w:ascii="Calibri" w:hAnsi="Calibri"/>
              </w:rPr>
              <w:t>Kachuee et al. (IEEE JBHI 2018)</w:t>
            </w:r>
          </w:p>
        </w:tc>
        <w:tc>
          <w:tcPr>
            <w:tcW w:w="1600" w:type="dxa"/>
            <w:shd w:val="clear" w:color="auto" w:fill="FFFFFF"/>
            <w:tcMar>
              <w:top w:w="90" w:type="dxa"/>
              <w:bottom w:w="90" w:type="dxa"/>
              <w:left w:w="120" w:type="dxa"/>
              <w:right w:w="120" w:type="dxa"/>
            </w:tcMar>
          </w:tcPr>
          <w:p>
            <w:pPr>
              <w:spacing w:before="0" w:after="0"/>
            </w:pPr>
            <w:r>
              <w:rPr>
                <w:color w:val="1E293B"/>
                <w:sz w:val="17"/>
                <w:rFonts w:ascii="Calibri" w:hAnsi="Calibri"/>
              </w:rPr>
              <w:t>5-Block 1D ResNet</w:t>
            </w:r>
          </w:p>
        </w:tc>
        <w:tc>
          <w:tcPr>
            <w:tcW w:w="1500" w:type="dxa"/>
            <w:shd w:val="clear" w:color="auto" w:fill="FFFFFF"/>
            <w:tcMar>
              <w:top w:w="90" w:type="dxa"/>
              <w:bottom w:w="90" w:type="dxa"/>
              <w:left w:w="120" w:type="dxa"/>
              <w:right w:w="120" w:type="dxa"/>
            </w:tcMar>
          </w:tcPr>
          <w:p>
            <w:pPr>
              <w:spacing w:before="0" w:after="0"/>
            </w:pPr>
            <w:r>
              <w:rPr>
                <w:color w:val="1E293B"/>
                <w:sz w:val="17"/>
                <w:rFonts w:ascii="Calibri" w:hAnsi="Calibri"/>
              </w:rPr>
              <w:t>Heartbeat-Level</w:t>
            </w:r>
          </w:p>
        </w:tc>
        <w:tc>
          <w:tcPr>
            <w:tcW w:w="900" w:type="dxa"/>
            <w:shd w:val="clear" w:color="auto" w:fill="FFFFFF"/>
            <w:tcMar>
              <w:top w:w="90" w:type="dxa"/>
              <w:bottom w:w="90" w:type="dxa"/>
              <w:left w:w="120" w:type="dxa"/>
              <w:right w:w="120" w:type="dxa"/>
            </w:tcMar>
          </w:tcPr>
          <w:p>
            <w:pPr>
              <w:spacing w:before="0" w:after="0"/>
            </w:pPr>
            <w:r>
              <w:rPr>
                <w:color w:val="1E293B"/>
                <w:sz w:val="17"/>
                <w:rFonts w:ascii="Calibri" w:hAnsi="Calibri"/>
              </w:rPr>
              <w:t>0.9520</w:t>
            </w:r>
          </w:p>
        </w:tc>
        <w:tc>
          <w:tcPr>
            <w:tcW w:w="900" w:type="dxa"/>
            <w:shd w:val="clear" w:color="auto" w:fill="FFFFFF"/>
            <w:tcMar>
              <w:top w:w="90" w:type="dxa"/>
              <w:bottom w:w="90" w:type="dxa"/>
              <w:left w:w="120" w:type="dxa"/>
              <w:right w:w="120" w:type="dxa"/>
            </w:tcMar>
          </w:tcPr>
          <w:p>
            <w:pPr>
              <w:spacing w:before="0" w:after="0"/>
            </w:pPr>
            <w:r>
              <w:rPr>
                <w:color w:val="1E293B"/>
                <w:sz w:val="17"/>
                <w:rFonts w:ascii="Calibri" w:hAnsi="Calibri"/>
              </w:rPr>
              <w:t>89.40%</w:t>
            </w:r>
          </w:p>
        </w:tc>
        <w:tc>
          <w:tcPr>
            <w:tcW w:w="900" w:type="dxa"/>
            <w:shd w:val="clear" w:color="auto" w:fill="FFFFFF"/>
            <w:tcMar>
              <w:top w:w="90" w:type="dxa"/>
              <w:bottom w:w="90" w:type="dxa"/>
              <w:left w:w="120" w:type="dxa"/>
              <w:right w:w="120" w:type="dxa"/>
            </w:tcMar>
          </w:tcPr>
          <w:p>
            <w:pPr>
              <w:spacing w:before="0" w:after="0"/>
            </w:pPr>
            <w:r>
              <w:rPr>
                <w:color w:val="1E293B"/>
                <w:sz w:val="17"/>
                <w:rFonts w:ascii="Calibri" w:hAnsi="Calibri"/>
              </w:rPr>
              <w:t>96.20%</w:t>
            </w:r>
          </w:p>
        </w:tc>
        <w:tc>
          <w:tcPr>
            <w:tcW w:w="900" w:type="dxa"/>
            <w:shd w:val="clear" w:color="auto" w:fill="FFFFFF"/>
            <w:tcMar>
              <w:top w:w="90" w:type="dxa"/>
              <w:bottom w:w="90" w:type="dxa"/>
              <w:left w:w="120" w:type="dxa"/>
              <w:right w:w="120" w:type="dxa"/>
            </w:tcMar>
          </w:tcPr>
          <w:p>
            <w:pPr>
              <w:spacing w:before="0" w:after="0"/>
            </w:pPr>
            <w:r>
              <w:rPr>
                <w:color w:val="1E293B"/>
                <w:sz w:val="17"/>
                <w:rFonts w:ascii="Calibri" w:hAnsi="Calibri"/>
              </w:rPr>
              <w:t>0.8780</w:t>
            </w:r>
          </w:p>
        </w:tc>
        <w:tc>
          <w:tcPr>
            <w:tcW w:w="900" w:type="dxa"/>
            <w:shd w:val="clear" w:color="auto" w:fill="FFFFFF"/>
            <w:tcMar>
              <w:top w:w="90" w:type="dxa"/>
              <w:bottom w:w="90" w:type="dxa"/>
              <w:left w:w="120" w:type="dxa"/>
              <w:right w:w="120" w:type="dxa"/>
            </w:tcMar>
          </w:tcPr>
          <w:p>
            <w:pPr>
              <w:spacing w:before="0" w:after="0"/>
            </w:pPr>
            <w:r>
              <w:rPr>
                <w:color w:val="1E293B"/>
                <w:sz w:val="17"/>
                <w:rFonts w:ascii="Calibri" w:hAnsi="Calibri"/>
              </w:rPr>
              <w:t>~15 MB</w:t>
            </w:r>
          </w:p>
        </w:tc>
        <w:tc>
          <w:tcPr>
            <w:tcW w:w="800" w:type="dxa"/>
            <w:shd w:val="clear" w:color="auto" w:fill="FFFFFF"/>
            <w:tcMar>
              <w:top w:w="90" w:type="dxa"/>
              <w:bottom w:w="90" w:type="dxa"/>
              <w:left w:w="120" w:type="dxa"/>
              <w:right w:w="120" w:type="dxa"/>
            </w:tcMar>
          </w:tcPr>
          <w:p>
            <w:pPr>
              <w:spacing w:before="0" w:after="0"/>
            </w:pPr>
            <w:r>
              <w:rPr>
                <w:color w:val="1E293B"/>
                <w:sz w:val="17"/>
                <w:rFonts w:ascii="Calibri" w:hAnsi="Calibri"/>
              </w:rPr>
              <w:t>~35 ms</w:t>
            </w:r>
          </w:p>
        </w:tc>
      </w:tr>
      <w:tr>
        <w:tc>
          <w:tcPr>
            <w:tcW w:w="1800" w:type="dxa"/>
            <w:shd w:val="clear" w:color="auto" w:fill="F8FAFC"/>
            <w:tcMar>
              <w:top w:w="90" w:type="dxa"/>
              <w:bottom w:w="90" w:type="dxa"/>
              <w:left w:w="120" w:type="dxa"/>
              <w:right w:w="120" w:type="dxa"/>
            </w:tcMar>
          </w:tcPr>
          <w:p>
            <w:pPr>
              <w:spacing w:before="0" w:after="0"/>
            </w:pPr>
            <w:r>
              <w:rPr>
                <w:b/>
                <w:color w:val="1E293B"/>
                <w:sz w:val="17"/>
                <w:rFonts w:ascii="Calibri" w:hAnsi="Calibri"/>
              </w:rPr>
              <w:t>Rajpurkar et al. (Stanford 2017)</w:t>
            </w:r>
          </w:p>
        </w:tc>
        <w:tc>
          <w:tcPr>
            <w:tcW w:w="1600" w:type="dxa"/>
            <w:shd w:val="clear" w:color="auto" w:fill="F8FAFC"/>
            <w:tcMar>
              <w:top w:w="90" w:type="dxa"/>
              <w:bottom w:w="90" w:type="dxa"/>
              <w:left w:w="120" w:type="dxa"/>
              <w:right w:w="120" w:type="dxa"/>
            </w:tcMar>
          </w:tcPr>
          <w:p>
            <w:pPr>
              <w:spacing w:before="0" w:after="0"/>
            </w:pPr>
            <w:r>
              <w:rPr>
                <w:color w:val="1E293B"/>
                <w:sz w:val="17"/>
                <w:rFonts w:ascii="Calibri" w:hAnsi="Calibri"/>
              </w:rPr>
              <w:t>34-Layer 1D CNN</w:t>
            </w:r>
          </w:p>
        </w:tc>
        <w:tc>
          <w:tcPr>
            <w:tcW w:w="1500" w:type="dxa"/>
            <w:shd w:val="clear" w:color="auto" w:fill="F8FAFC"/>
            <w:tcMar>
              <w:top w:w="90" w:type="dxa"/>
              <w:bottom w:w="90" w:type="dxa"/>
              <w:left w:w="120" w:type="dxa"/>
              <w:right w:w="120" w:type="dxa"/>
            </w:tcMar>
          </w:tcPr>
          <w:p>
            <w:pPr>
              <w:spacing w:before="0" w:after="0"/>
            </w:pPr>
            <w:r>
              <w:rPr>
                <w:color w:val="1E293B"/>
                <w:sz w:val="17"/>
                <w:rFonts w:ascii="Calibri" w:hAnsi="Calibri"/>
              </w:rPr>
              <w:t>Patient-Grouped</w:t>
            </w:r>
          </w:p>
        </w:tc>
        <w:tc>
          <w:tcPr>
            <w:tcW w:w="900" w:type="dxa"/>
            <w:shd w:val="clear" w:color="auto" w:fill="F8FAFC"/>
            <w:tcMar>
              <w:top w:w="90" w:type="dxa"/>
              <w:bottom w:w="90" w:type="dxa"/>
              <w:left w:w="120" w:type="dxa"/>
              <w:right w:w="120" w:type="dxa"/>
            </w:tcMar>
          </w:tcPr>
          <w:p>
            <w:pPr>
              <w:spacing w:before="0" w:after="0"/>
            </w:pPr>
            <w:r>
              <w:rPr>
                <w:color w:val="1E293B"/>
                <w:sz w:val="17"/>
                <w:rFonts w:ascii="Calibri" w:hAnsi="Calibri"/>
              </w:rPr>
              <w:t>0.9700</w:t>
            </w:r>
          </w:p>
        </w:tc>
        <w:tc>
          <w:tcPr>
            <w:tcW w:w="900" w:type="dxa"/>
            <w:shd w:val="clear" w:color="auto" w:fill="F8FAFC"/>
            <w:tcMar>
              <w:top w:w="90" w:type="dxa"/>
              <w:bottom w:w="90" w:type="dxa"/>
              <w:left w:w="120" w:type="dxa"/>
              <w:right w:w="120" w:type="dxa"/>
            </w:tcMar>
          </w:tcPr>
          <w:p>
            <w:pPr>
              <w:spacing w:before="0" w:after="0"/>
            </w:pPr>
            <w:r>
              <w:rPr>
                <w:color w:val="1E293B"/>
                <w:sz w:val="17"/>
                <w:rFonts w:ascii="Calibri" w:hAnsi="Calibri"/>
              </w:rPr>
              <w:t>88.30%</w:t>
            </w:r>
          </w:p>
        </w:tc>
        <w:tc>
          <w:tcPr>
            <w:tcW w:w="900" w:type="dxa"/>
            <w:shd w:val="clear" w:color="auto" w:fill="F8FAFC"/>
            <w:tcMar>
              <w:top w:w="90" w:type="dxa"/>
              <w:bottom w:w="90" w:type="dxa"/>
              <w:left w:w="120" w:type="dxa"/>
              <w:right w:w="120" w:type="dxa"/>
            </w:tcMar>
          </w:tcPr>
          <w:p>
            <w:pPr>
              <w:spacing w:before="0" w:after="0"/>
            </w:pPr>
            <w:r>
              <w:rPr>
                <w:color w:val="1E293B"/>
                <w:sz w:val="17"/>
                <w:rFonts w:ascii="Calibri" w:hAnsi="Calibri"/>
              </w:rPr>
              <w:t>94.70%</w:t>
            </w:r>
          </w:p>
        </w:tc>
        <w:tc>
          <w:tcPr>
            <w:tcW w:w="900" w:type="dxa"/>
            <w:shd w:val="clear" w:color="auto" w:fill="F8FAFC"/>
            <w:tcMar>
              <w:top w:w="90" w:type="dxa"/>
              <w:bottom w:w="90" w:type="dxa"/>
              <w:left w:w="120" w:type="dxa"/>
              <w:right w:w="120" w:type="dxa"/>
            </w:tcMar>
          </w:tcPr>
          <w:p>
            <w:pPr>
              <w:spacing w:before="0" w:after="0"/>
            </w:pPr>
            <w:r>
              <w:rPr>
                <w:color w:val="1E293B"/>
                <w:sz w:val="17"/>
                <w:rFonts w:ascii="Calibri" w:hAnsi="Calibri"/>
              </w:rPr>
              <w:t>0.8520</w:t>
            </w:r>
          </w:p>
        </w:tc>
        <w:tc>
          <w:tcPr>
            <w:tcW w:w="900" w:type="dxa"/>
            <w:shd w:val="clear" w:color="auto" w:fill="F8FAFC"/>
            <w:tcMar>
              <w:top w:w="90" w:type="dxa"/>
              <w:bottom w:w="90" w:type="dxa"/>
              <w:left w:w="120" w:type="dxa"/>
              <w:right w:w="120" w:type="dxa"/>
            </w:tcMar>
          </w:tcPr>
          <w:p>
            <w:pPr>
              <w:spacing w:before="0" w:after="0"/>
            </w:pPr>
            <w:r>
              <w:rPr>
                <w:color w:val="1E293B"/>
                <w:sz w:val="17"/>
                <w:rFonts w:ascii="Calibri" w:hAnsi="Calibri"/>
              </w:rPr>
              <w:t>~115 MB</w:t>
            </w:r>
          </w:p>
        </w:tc>
        <w:tc>
          <w:tcPr>
            <w:tcW w:w="800" w:type="dxa"/>
            <w:shd w:val="clear" w:color="auto" w:fill="F8FAFC"/>
            <w:tcMar>
              <w:top w:w="90" w:type="dxa"/>
              <w:bottom w:w="90" w:type="dxa"/>
              <w:left w:w="120" w:type="dxa"/>
              <w:right w:w="120" w:type="dxa"/>
            </w:tcMar>
          </w:tcPr>
          <w:p>
            <w:pPr>
              <w:spacing w:before="0" w:after="0"/>
            </w:pPr>
            <w:r>
              <w:rPr>
                <w:color w:val="1E293B"/>
                <w:sz w:val="17"/>
                <w:rFonts w:ascii="Calibri" w:hAnsi="Calibri"/>
              </w:rPr>
              <w:t>~110 ms</w:t>
            </w:r>
          </w:p>
        </w:tc>
      </w:tr>
      <w:tr>
        <w:tc>
          <w:tcPr>
            <w:tcW w:w="1800" w:type="dxa"/>
            <w:shd w:val="clear" w:color="auto" w:fill="FFFFFF"/>
            <w:tcMar>
              <w:top w:w="90" w:type="dxa"/>
              <w:bottom w:w="90" w:type="dxa"/>
              <w:left w:w="120" w:type="dxa"/>
              <w:right w:w="120" w:type="dxa"/>
            </w:tcMar>
          </w:tcPr>
          <w:p>
            <w:pPr>
              <w:spacing w:before="0" w:after="0"/>
            </w:pPr>
            <w:r>
              <w:rPr>
                <w:b/>
                <w:color w:val="1E293B"/>
                <w:sz w:val="17"/>
                <w:rFonts w:ascii="Calibri" w:hAnsi="Calibri"/>
              </w:rPr>
              <w:t>Kiranyaz et al. (IEEE TBME 2016)</w:t>
            </w:r>
          </w:p>
        </w:tc>
        <w:tc>
          <w:tcPr>
            <w:tcW w:w="1600" w:type="dxa"/>
            <w:shd w:val="clear" w:color="auto" w:fill="FFFFFF"/>
            <w:tcMar>
              <w:top w:w="90" w:type="dxa"/>
              <w:bottom w:w="90" w:type="dxa"/>
              <w:left w:w="120" w:type="dxa"/>
              <w:right w:w="120" w:type="dxa"/>
            </w:tcMar>
          </w:tcPr>
          <w:p>
            <w:pPr>
              <w:spacing w:before="0" w:after="0"/>
            </w:pPr>
            <w:r>
              <w:rPr>
                <w:color w:val="1E293B"/>
                <w:sz w:val="17"/>
                <w:rFonts w:ascii="Calibri" w:hAnsi="Calibri"/>
              </w:rPr>
              <w:t>Adaptive 1D-CNN</w:t>
            </w:r>
          </w:p>
        </w:tc>
        <w:tc>
          <w:tcPr>
            <w:tcW w:w="1500" w:type="dxa"/>
            <w:shd w:val="clear" w:color="auto" w:fill="FFFFFF"/>
            <w:tcMar>
              <w:top w:w="90" w:type="dxa"/>
              <w:bottom w:w="90" w:type="dxa"/>
              <w:left w:w="120" w:type="dxa"/>
              <w:right w:w="120" w:type="dxa"/>
            </w:tcMar>
          </w:tcPr>
          <w:p>
            <w:pPr>
              <w:spacing w:before="0" w:after="0"/>
            </w:pPr>
            <w:r>
              <w:rPr>
                <w:color w:val="1E293B"/>
                <w:sz w:val="17"/>
                <w:rFonts w:ascii="Calibri" w:hAnsi="Calibri"/>
              </w:rPr>
              <w:t>Patient-Tuned</w:t>
            </w:r>
          </w:p>
        </w:tc>
        <w:tc>
          <w:tcPr>
            <w:tcW w:w="900" w:type="dxa"/>
            <w:shd w:val="clear" w:color="auto" w:fill="FFFFFF"/>
            <w:tcMar>
              <w:top w:w="90" w:type="dxa"/>
              <w:bottom w:w="90" w:type="dxa"/>
              <w:left w:w="120" w:type="dxa"/>
              <w:right w:w="120" w:type="dxa"/>
            </w:tcMar>
          </w:tcPr>
          <w:p>
            <w:pPr>
              <w:spacing w:before="0" w:after="0"/>
            </w:pPr>
            <w:r>
              <w:rPr>
                <w:color w:val="1E293B"/>
                <w:sz w:val="17"/>
                <w:rFonts w:ascii="Calibri" w:hAnsi="Calibri"/>
              </w:rPr>
              <w:t>0.9650</w:t>
            </w:r>
          </w:p>
        </w:tc>
        <w:tc>
          <w:tcPr>
            <w:tcW w:w="900" w:type="dxa"/>
            <w:shd w:val="clear" w:color="auto" w:fill="FFFFFF"/>
            <w:tcMar>
              <w:top w:w="90" w:type="dxa"/>
              <w:bottom w:w="90" w:type="dxa"/>
              <w:left w:w="120" w:type="dxa"/>
              <w:right w:w="120" w:type="dxa"/>
            </w:tcMar>
          </w:tcPr>
          <w:p>
            <w:pPr>
              <w:spacing w:before="0" w:after="0"/>
            </w:pPr>
            <w:r>
              <w:rPr>
                <w:color w:val="1E293B"/>
                <w:sz w:val="17"/>
                <w:rFonts w:ascii="Calibri" w:hAnsi="Calibri"/>
              </w:rPr>
              <w:t>95.80%</w:t>
            </w:r>
          </w:p>
        </w:tc>
        <w:tc>
          <w:tcPr>
            <w:tcW w:w="900" w:type="dxa"/>
            <w:shd w:val="clear" w:color="auto" w:fill="FFFFFF"/>
            <w:tcMar>
              <w:top w:w="90" w:type="dxa"/>
              <w:bottom w:w="90" w:type="dxa"/>
              <w:left w:w="120" w:type="dxa"/>
              <w:right w:w="120" w:type="dxa"/>
            </w:tcMar>
          </w:tcPr>
          <w:p>
            <w:pPr>
              <w:spacing w:before="0" w:after="0"/>
            </w:pPr>
            <w:r>
              <w:rPr>
                <w:color w:val="1E293B"/>
                <w:sz w:val="17"/>
                <w:rFonts w:ascii="Calibri" w:hAnsi="Calibri"/>
              </w:rPr>
              <w:t>98.40%</w:t>
            </w:r>
          </w:p>
        </w:tc>
        <w:tc>
          <w:tcPr>
            <w:tcW w:w="900" w:type="dxa"/>
            <w:shd w:val="clear" w:color="auto" w:fill="FFFFFF"/>
            <w:tcMar>
              <w:top w:w="90" w:type="dxa"/>
              <w:bottom w:w="90" w:type="dxa"/>
              <w:left w:w="120" w:type="dxa"/>
              <w:right w:w="120" w:type="dxa"/>
            </w:tcMar>
          </w:tcPr>
          <w:p>
            <w:pPr>
              <w:spacing w:before="0" w:after="0"/>
            </w:pPr>
            <w:r>
              <w:rPr>
                <w:color w:val="1E293B"/>
                <w:sz w:val="17"/>
                <w:rFonts w:ascii="Calibri" w:hAnsi="Calibri"/>
              </w:rPr>
              <w:t>0.8920</w:t>
            </w:r>
          </w:p>
        </w:tc>
        <w:tc>
          <w:tcPr>
            <w:tcW w:w="900" w:type="dxa"/>
            <w:shd w:val="clear" w:color="auto" w:fill="FFFFFF"/>
            <w:tcMar>
              <w:top w:w="90" w:type="dxa"/>
              <w:bottom w:w="90" w:type="dxa"/>
              <w:left w:w="120" w:type="dxa"/>
              <w:right w:w="120" w:type="dxa"/>
            </w:tcMar>
          </w:tcPr>
          <w:p>
            <w:pPr>
              <w:spacing w:before="0" w:after="0"/>
            </w:pPr>
            <w:r>
              <w:rPr>
                <w:color w:val="1E293B"/>
                <w:sz w:val="17"/>
                <w:rFonts w:ascii="Calibri" w:hAnsi="Calibri"/>
              </w:rPr>
              <w:t>~8 MB</w:t>
            </w:r>
          </w:p>
        </w:tc>
        <w:tc>
          <w:tcPr>
            <w:tcW w:w="800" w:type="dxa"/>
            <w:shd w:val="clear" w:color="auto" w:fill="FFFFFF"/>
            <w:tcMar>
              <w:top w:w="90" w:type="dxa"/>
              <w:bottom w:w="90" w:type="dxa"/>
              <w:left w:w="120" w:type="dxa"/>
              <w:right w:w="120" w:type="dxa"/>
            </w:tcMar>
          </w:tcPr>
          <w:p>
            <w:pPr>
              <w:spacing w:before="0" w:after="0"/>
            </w:pPr>
            <w:r>
              <w:rPr>
                <w:color w:val="1E293B"/>
                <w:sz w:val="17"/>
                <w:rFonts w:ascii="Calibri" w:hAnsi="Calibri"/>
              </w:rPr>
              <w:t>~18 ms</w:t>
            </w:r>
          </w:p>
        </w:tc>
      </w:tr>
      <w:tr>
        <w:tc>
          <w:tcPr>
            <w:tcW w:w="1800" w:type="dxa"/>
            <w:shd w:val="clear" w:color="auto" w:fill="F8FAFC"/>
            <w:tcMar>
              <w:top w:w="90" w:type="dxa"/>
              <w:bottom w:w="90" w:type="dxa"/>
              <w:left w:w="120" w:type="dxa"/>
              <w:right w:w="120" w:type="dxa"/>
            </w:tcMar>
          </w:tcPr>
          <w:p>
            <w:pPr>
              <w:spacing w:before="0" w:after="0"/>
            </w:pPr>
            <w:r>
              <w:rPr>
                <w:b/>
                <w:color w:val="1E293B"/>
                <w:sz w:val="17"/>
                <w:rFonts w:ascii="Calibri" w:hAnsi="Calibri"/>
              </w:rPr>
              <w:t>Acharya et al. (CBM 2017)</w:t>
            </w:r>
          </w:p>
        </w:tc>
        <w:tc>
          <w:tcPr>
            <w:tcW w:w="1600" w:type="dxa"/>
            <w:shd w:val="clear" w:color="auto" w:fill="F8FAFC"/>
            <w:tcMar>
              <w:top w:w="90" w:type="dxa"/>
              <w:bottom w:w="90" w:type="dxa"/>
              <w:left w:w="120" w:type="dxa"/>
              <w:right w:w="120" w:type="dxa"/>
            </w:tcMar>
          </w:tcPr>
          <w:p>
            <w:pPr>
              <w:spacing w:before="0" w:after="0"/>
            </w:pPr>
            <w:r>
              <w:rPr>
                <w:color w:val="1E293B"/>
                <w:sz w:val="17"/>
                <w:rFonts w:ascii="Calibri" w:hAnsi="Calibri"/>
              </w:rPr>
              <w:t>9-Layer 1D CNN</w:t>
            </w:r>
          </w:p>
        </w:tc>
        <w:tc>
          <w:tcPr>
            <w:tcW w:w="1500" w:type="dxa"/>
            <w:shd w:val="clear" w:color="auto" w:fill="F8FAFC"/>
            <w:tcMar>
              <w:top w:w="90" w:type="dxa"/>
              <w:bottom w:w="90" w:type="dxa"/>
              <w:left w:w="120" w:type="dxa"/>
              <w:right w:w="120" w:type="dxa"/>
            </w:tcMar>
          </w:tcPr>
          <w:p>
            <w:pPr>
              <w:spacing w:before="0" w:after="0"/>
            </w:pPr>
            <w:r>
              <w:rPr>
                <w:color w:val="1E293B"/>
                <w:sz w:val="17"/>
                <w:rFonts w:ascii="Calibri" w:hAnsi="Calibri"/>
              </w:rPr>
              <w:t>Random Segment</w:t>
            </w:r>
          </w:p>
        </w:tc>
        <w:tc>
          <w:tcPr>
            <w:tcW w:w="900" w:type="dxa"/>
            <w:shd w:val="clear" w:color="auto" w:fill="F8FAFC"/>
            <w:tcMar>
              <w:top w:w="90" w:type="dxa"/>
              <w:bottom w:w="90" w:type="dxa"/>
              <w:left w:w="120" w:type="dxa"/>
              <w:right w:w="120" w:type="dxa"/>
            </w:tcMar>
          </w:tcPr>
          <w:p>
            <w:pPr>
              <w:spacing w:before="0" w:after="0"/>
            </w:pPr>
            <w:r>
              <w:rPr>
                <w:color w:val="1E293B"/>
                <w:sz w:val="17"/>
                <w:rFonts w:ascii="Calibri" w:hAnsi="Calibri"/>
              </w:rPr>
              <w:t>0.9580</w:t>
            </w:r>
          </w:p>
        </w:tc>
        <w:tc>
          <w:tcPr>
            <w:tcW w:w="900" w:type="dxa"/>
            <w:shd w:val="clear" w:color="auto" w:fill="F8FAFC"/>
            <w:tcMar>
              <w:top w:w="90" w:type="dxa"/>
              <w:bottom w:w="90" w:type="dxa"/>
              <w:left w:w="120" w:type="dxa"/>
              <w:right w:w="120" w:type="dxa"/>
            </w:tcMar>
          </w:tcPr>
          <w:p>
            <w:pPr>
              <w:spacing w:before="0" w:after="0"/>
            </w:pPr>
            <w:r>
              <w:rPr>
                <w:color w:val="1E293B"/>
                <w:sz w:val="17"/>
                <w:rFonts w:ascii="Calibri" w:hAnsi="Calibri"/>
              </w:rPr>
              <w:t>95.89%</w:t>
            </w:r>
          </w:p>
        </w:tc>
        <w:tc>
          <w:tcPr>
            <w:tcW w:w="900" w:type="dxa"/>
            <w:shd w:val="clear" w:color="auto" w:fill="F8FAFC"/>
            <w:tcMar>
              <w:top w:w="90" w:type="dxa"/>
              <w:bottom w:w="90" w:type="dxa"/>
              <w:left w:w="120" w:type="dxa"/>
              <w:right w:w="120" w:type="dxa"/>
            </w:tcMar>
          </w:tcPr>
          <w:p>
            <w:pPr>
              <w:spacing w:before="0" w:after="0"/>
            </w:pPr>
            <w:r>
              <w:rPr>
                <w:color w:val="1E293B"/>
                <w:sz w:val="17"/>
                <w:rFonts w:ascii="Calibri" w:hAnsi="Calibri"/>
              </w:rPr>
              <w:t>92.17%</w:t>
            </w:r>
          </w:p>
        </w:tc>
        <w:tc>
          <w:tcPr>
            <w:tcW w:w="900" w:type="dxa"/>
            <w:shd w:val="clear" w:color="auto" w:fill="F8FAFC"/>
            <w:tcMar>
              <w:top w:w="90" w:type="dxa"/>
              <w:bottom w:w="90" w:type="dxa"/>
              <w:left w:w="120" w:type="dxa"/>
              <w:right w:w="120" w:type="dxa"/>
            </w:tcMar>
          </w:tcPr>
          <w:p>
            <w:pPr>
              <w:spacing w:before="0" w:after="0"/>
            </w:pPr>
            <w:r>
              <w:rPr>
                <w:color w:val="1E293B"/>
                <w:sz w:val="17"/>
                <w:rFonts w:ascii="Calibri" w:hAnsi="Calibri"/>
              </w:rPr>
              <w:t>0.8940</w:t>
            </w:r>
          </w:p>
        </w:tc>
        <w:tc>
          <w:tcPr>
            <w:tcW w:w="900" w:type="dxa"/>
            <w:shd w:val="clear" w:color="auto" w:fill="F8FAFC"/>
            <w:tcMar>
              <w:top w:w="90" w:type="dxa"/>
              <w:bottom w:w="90" w:type="dxa"/>
              <w:left w:w="120" w:type="dxa"/>
              <w:right w:w="120" w:type="dxa"/>
            </w:tcMar>
          </w:tcPr>
          <w:p>
            <w:pPr>
              <w:spacing w:before="0" w:after="0"/>
            </w:pPr>
            <w:r>
              <w:rPr>
                <w:color w:val="1E293B"/>
                <w:sz w:val="17"/>
                <w:rFonts w:ascii="Calibri" w:hAnsi="Calibri"/>
              </w:rPr>
              <w:t>~12 MB</w:t>
            </w:r>
          </w:p>
        </w:tc>
        <w:tc>
          <w:tcPr>
            <w:tcW w:w="800" w:type="dxa"/>
            <w:shd w:val="clear" w:color="auto" w:fill="F8FAFC"/>
            <w:tcMar>
              <w:top w:w="90" w:type="dxa"/>
              <w:bottom w:w="90" w:type="dxa"/>
              <w:left w:w="120" w:type="dxa"/>
              <w:right w:w="120" w:type="dxa"/>
            </w:tcMar>
          </w:tcPr>
          <w:p>
            <w:pPr>
              <w:spacing w:before="0" w:after="0"/>
            </w:pPr>
            <w:r>
              <w:rPr>
                <w:color w:val="1E293B"/>
                <w:sz w:val="17"/>
                <w:rFonts w:ascii="Calibri" w:hAnsi="Calibri"/>
              </w:rPr>
              <w:t>~25 ms</w:t>
            </w:r>
          </w:p>
        </w:tc>
      </w:tr>
      <w:tr>
        <w:tc>
          <w:tcPr>
            <w:tcW w:w="1800" w:type="dxa"/>
            <w:shd w:val="clear" w:color="auto" w:fill="FFFFFF"/>
            <w:tcMar>
              <w:top w:w="90" w:type="dxa"/>
              <w:bottom w:w="90" w:type="dxa"/>
              <w:left w:w="120" w:type="dxa"/>
              <w:right w:w="120" w:type="dxa"/>
            </w:tcMar>
          </w:tcPr>
          <w:p>
            <w:pPr>
              <w:spacing w:before="0" w:after="0"/>
            </w:pPr>
            <w:r>
              <w:rPr>
                <w:b/>
                <w:color w:val="1E293B"/>
                <w:sz w:val="17"/>
                <w:rFonts w:ascii="Calibri" w:hAnsi="Calibri"/>
              </w:rPr>
              <w:t>CardioGuard (Proposed)</w:t>
            </w:r>
          </w:p>
        </w:tc>
        <w:tc>
          <w:tcPr>
            <w:tcW w:w="1600" w:type="dxa"/>
            <w:shd w:val="clear" w:color="auto" w:fill="FFFFFF"/>
            <w:tcMar>
              <w:top w:w="90" w:type="dxa"/>
              <w:bottom w:w="90" w:type="dxa"/>
              <w:left w:w="120" w:type="dxa"/>
              <w:right w:w="120" w:type="dxa"/>
            </w:tcMar>
          </w:tcPr>
          <w:p>
            <w:pPr>
              <w:spacing w:before="0" w:after="0"/>
            </w:pPr>
            <w:r>
              <w:rPr>
                <w:color w:val="1E293B"/>
                <w:sz w:val="17"/>
                <w:rFonts w:ascii="Calibri" w:hAnsi="Calibri"/>
              </w:rPr>
              <w:t>Calibrated HGB + 26D HRV</w:t>
            </w:r>
          </w:p>
        </w:tc>
        <w:tc>
          <w:tcPr>
            <w:tcW w:w="1500" w:type="dxa"/>
            <w:shd w:val="clear" w:color="auto" w:fill="FFFFFF"/>
            <w:tcMar>
              <w:top w:w="90" w:type="dxa"/>
              <w:bottom w:w="90" w:type="dxa"/>
              <w:left w:w="120" w:type="dxa"/>
              <w:right w:w="120" w:type="dxa"/>
            </w:tcMar>
          </w:tcPr>
          <w:p>
            <w:pPr>
              <w:spacing w:before="0" w:after="0"/>
            </w:pPr>
            <w:r>
              <w:rPr>
                <w:color w:val="1E293B"/>
                <w:sz w:val="17"/>
                <w:rFonts w:ascii="Calibri" w:hAnsi="Calibri"/>
              </w:rPr>
              <w:t>5-Fold Patient-Isolated</w:t>
            </w:r>
          </w:p>
        </w:tc>
        <w:tc>
          <w:tcPr>
            <w:tcW w:w="900" w:type="dxa"/>
            <w:shd w:val="clear" w:color="auto" w:fill="FFFFFF"/>
            <w:tcMar>
              <w:top w:w="90" w:type="dxa"/>
              <w:bottom w:w="90" w:type="dxa"/>
              <w:left w:w="120" w:type="dxa"/>
              <w:right w:w="120" w:type="dxa"/>
            </w:tcMar>
          </w:tcPr>
          <w:p>
            <w:pPr>
              <w:spacing w:before="0" w:after="0"/>
            </w:pPr>
            <w:r>
              <w:rPr>
                <w:color w:val="1E293B"/>
                <w:sz w:val="17"/>
                <w:rFonts w:ascii="Calibri" w:hAnsi="Calibri"/>
              </w:rPr>
              <w:t>0.9883</w:t>
            </w:r>
          </w:p>
        </w:tc>
        <w:tc>
          <w:tcPr>
            <w:tcW w:w="900" w:type="dxa"/>
            <w:shd w:val="clear" w:color="auto" w:fill="FFFFFF"/>
            <w:tcMar>
              <w:top w:w="90" w:type="dxa"/>
              <w:bottom w:w="90" w:type="dxa"/>
              <w:left w:w="120" w:type="dxa"/>
              <w:right w:w="120" w:type="dxa"/>
            </w:tcMar>
          </w:tcPr>
          <w:p>
            <w:pPr>
              <w:spacing w:before="0" w:after="0"/>
            </w:pPr>
            <w:r>
              <w:rPr>
                <w:color w:val="1E293B"/>
                <w:sz w:val="17"/>
                <w:rFonts w:ascii="Calibri" w:hAnsi="Calibri"/>
              </w:rPr>
              <w:t>98.29%</w:t>
            </w:r>
          </w:p>
        </w:tc>
        <w:tc>
          <w:tcPr>
            <w:tcW w:w="900" w:type="dxa"/>
            <w:shd w:val="clear" w:color="auto" w:fill="FFFFFF"/>
            <w:tcMar>
              <w:top w:w="90" w:type="dxa"/>
              <w:bottom w:w="90" w:type="dxa"/>
              <w:left w:w="120" w:type="dxa"/>
              <w:right w:w="120" w:type="dxa"/>
            </w:tcMar>
          </w:tcPr>
          <w:p>
            <w:pPr>
              <w:spacing w:before="0" w:after="0"/>
            </w:pPr>
            <w:r>
              <w:rPr>
                <w:color w:val="1E293B"/>
                <w:sz w:val="17"/>
                <w:rFonts w:ascii="Calibri" w:hAnsi="Calibri"/>
              </w:rPr>
              <w:t>93.97%</w:t>
            </w:r>
          </w:p>
        </w:tc>
        <w:tc>
          <w:tcPr>
            <w:tcW w:w="900" w:type="dxa"/>
            <w:shd w:val="clear" w:color="auto" w:fill="FFFFFF"/>
            <w:tcMar>
              <w:top w:w="90" w:type="dxa"/>
              <w:bottom w:w="90" w:type="dxa"/>
              <w:left w:w="120" w:type="dxa"/>
              <w:right w:w="120" w:type="dxa"/>
            </w:tcMar>
          </w:tcPr>
          <w:p>
            <w:pPr>
              <w:spacing w:before="0" w:after="0"/>
            </w:pPr>
            <w:r>
              <w:rPr>
                <w:color w:val="1E293B"/>
                <w:sz w:val="17"/>
                <w:rFonts w:ascii="Calibri" w:hAnsi="Calibri"/>
              </w:rPr>
              <w:t>0.9842</w:t>
            </w:r>
          </w:p>
        </w:tc>
        <w:tc>
          <w:tcPr>
            <w:tcW w:w="900" w:type="dxa"/>
            <w:shd w:val="clear" w:color="auto" w:fill="FFFFFF"/>
            <w:tcMar>
              <w:top w:w="90" w:type="dxa"/>
              <w:bottom w:w="90" w:type="dxa"/>
              <w:left w:w="120" w:type="dxa"/>
              <w:right w:w="120" w:type="dxa"/>
            </w:tcMar>
          </w:tcPr>
          <w:p>
            <w:pPr>
              <w:spacing w:before="0" w:after="0"/>
            </w:pPr>
            <w:r>
              <w:rPr>
                <w:color w:val="1E293B"/>
                <w:sz w:val="17"/>
                <w:rFonts w:ascii="Calibri" w:hAnsi="Calibri"/>
              </w:rPr>
              <w:t>48 KB</w:t>
            </w:r>
          </w:p>
        </w:tc>
        <w:tc>
          <w:tcPr>
            <w:tcW w:w="800" w:type="dxa"/>
            <w:shd w:val="clear" w:color="auto" w:fill="FFFFFF"/>
            <w:tcMar>
              <w:top w:w="90" w:type="dxa"/>
              <w:bottom w:w="90" w:type="dxa"/>
              <w:left w:w="120" w:type="dxa"/>
              <w:right w:w="120" w:type="dxa"/>
            </w:tcMar>
          </w:tcPr>
          <w:p>
            <w:pPr>
              <w:spacing w:before="0" w:after="0"/>
            </w:pPr>
            <w:r>
              <w:rPr>
                <w:color w:val="1E293B"/>
                <w:sz w:val="17"/>
                <w:rFonts w:ascii="Calibri" w:hAnsi="Calibri"/>
              </w:rPr>
              <w:t>&lt; 3.8 ms</w:t>
            </w:r>
          </w:p>
        </w:tc>
      </w:tr>
    </w:tbl>
    <w:p>
      <w:pPr>
        <w:spacing w:before="120" w:after="120"/>
      </w:pPr>
    </w:p>
    <w:p>
      <w:pPr>
        <w:spacing w:before="360" w:after="140"/>
        <w:pBdr>
          <w:bottom w:val="single" w:sz="12" w:space="4" w:color="0284C7"/>
        </w:pBdr>
      </w:pPr>
      <w:r>
        <w:rPr>
          <w:rFonts w:ascii="Calibri" w:hAnsi="Calibri"/>
          <w:b/>
          <w:color w:val="0369A1"/>
          <w:sz w:val="32"/>
        </w:rPr>
        <w:t>3. Computational Footprint and Embedded Edge Feasibility</w:t>
      </w:r>
    </w:p>
    <w:p>
      <w:pPr>
        <w:spacing w:before="60" w:after="80"/>
        <w:line w:line="276" w:lineRule="auto"/>
      </w:pPr>
      <w:r>
        <w:rPr>
          <w:color w:val="1E293B"/>
          <w:sz w:val="21"/>
          <w:rFonts w:ascii="Calibri" w:hAnsi="Calibri"/>
        </w:rPr>
        <w:t>A critical bottleneck of deep neural networks in healthcare is their inability to execute on ultra-low-power microcontrollers. Table 2 details the computational resource comparison.</w:t>
      </w:r>
    </w:p>
    <w:tbl>
      <w:tblPr>
        <w:tblW w:w="10200" w:type="dxa"/>
        <w:tblBorders>
          <w:top w:val="single" w:sz="6" w:space="0" w:color="CBD5E1"/>
          <w:bottom w:val="single" w:sz="6" w:space="0" w:color="CBD5E1"/>
          <w:insideH w:val="single" w:sz="4" w:space="0" w:color="E2E8F0"/>
          <w:insideV w:val="single" w:sz="4" w:space="0" w:color="E2E8F0"/>
        </w:tblBorders>
      </w:tblPr>
      <w:tr>
        <w:tc>
          <w:tcPr>
            <w:tcW w:w="2200" w:type="dxa"/>
            <w:shd w:val="clear" w:color="auto" w:fill="0F2942"/>
            <w:tcMar>
              <w:top w:w="100" w:type="dxa"/>
              <w:bottom w:w="100" w:type="dxa"/>
              <w:left w:w="120" w:type="dxa"/>
              <w:right w:w="120" w:type="dxa"/>
            </w:tcMar>
          </w:tcPr>
          <w:p>
            <w:pPr>
              <w:spacing w:before="0" w:after="0"/>
            </w:pPr>
            <w:r>
              <w:rPr>
                <w:b/>
                <w:color w:val="FFFFFF"/>
                <w:sz w:val="18"/>
                <w:rFonts w:ascii="Calibri" w:hAnsi="Calibri"/>
              </w:rPr>
              <w:t>Computational Metric</w:t>
            </w:r>
          </w:p>
        </w:tc>
        <w:tc>
          <w:tcPr>
            <w:tcW w:w="2000" w:type="dxa"/>
            <w:shd w:val="clear" w:color="auto" w:fill="0F2942"/>
            <w:tcMar>
              <w:top w:w="100" w:type="dxa"/>
              <w:bottom w:w="100" w:type="dxa"/>
              <w:left w:w="120" w:type="dxa"/>
              <w:right w:w="120" w:type="dxa"/>
            </w:tcMar>
          </w:tcPr>
          <w:p>
            <w:pPr>
              <w:spacing w:before="0" w:after="0"/>
            </w:pPr>
            <w:r>
              <w:rPr>
                <w:b/>
                <w:color w:val="FFFFFF"/>
                <w:sz w:val="18"/>
                <w:rFonts w:ascii="Calibri" w:hAnsi="Calibri"/>
              </w:rPr>
              <w:t>Hannun et al. (2019)</w:t>
            </w:r>
          </w:p>
        </w:tc>
        <w:tc>
          <w:tcPr>
            <w:tcW w:w="2000" w:type="dxa"/>
            <w:shd w:val="clear" w:color="auto" w:fill="0F2942"/>
            <w:tcMar>
              <w:top w:w="100" w:type="dxa"/>
              <w:bottom w:w="100" w:type="dxa"/>
              <w:left w:w="120" w:type="dxa"/>
              <w:right w:w="120" w:type="dxa"/>
            </w:tcMar>
          </w:tcPr>
          <w:p>
            <w:pPr>
              <w:spacing w:before="0" w:after="0"/>
            </w:pPr>
            <w:r>
              <w:rPr>
                <w:b/>
                <w:color w:val="FFFFFF"/>
                <w:sz w:val="18"/>
                <w:rFonts w:ascii="Calibri" w:hAnsi="Calibri"/>
              </w:rPr>
              <w:t>Kachuee et al. (2018)</w:t>
            </w:r>
          </w:p>
        </w:tc>
        <w:tc>
          <w:tcPr>
            <w:tcW w:w="2000" w:type="dxa"/>
            <w:shd w:val="clear" w:color="auto" w:fill="0F2942"/>
            <w:tcMar>
              <w:top w:w="100" w:type="dxa"/>
              <w:bottom w:w="100" w:type="dxa"/>
              <w:left w:w="120" w:type="dxa"/>
              <w:right w:w="120" w:type="dxa"/>
            </w:tcMar>
          </w:tcPr>
          <w:p>
            <w:pPr>
              <w:spacing w:before="0" w:after="0"/>
            </w:pPr>
            <w:r>
              <w:rPr>
                <w:b/>
                <w:color w:val="FFFFFF"/>
                <w:sz w:val="18"/>
                <w:rFonts w:ascii="Calibri" w:hAnsi="Calibri"/>
              </w:rPr>
              <w:t>CardioGuard (Ours)</w:t>
            </w:r>
          </w:p>
        </w:tc>
        <w:tc>
          <w:tcPr>
            <w:tcW w:w="2000" w:type="dxa"/>
            <w:shd w:val="clear" w:color="auto" w:fill="0F2942"/>
            <w:tcMar>
              <w:top w:w="100" w:type="dxa"/>
              <w:bottom w:w="100" w:type="dxa"/>
              <w:left w:w="120" w:type="dxa"/>
              <w:right w:w="120" w:type="dxa"/>
            </w:tcMar>
          </w:tcPr>
          <w:p>
            <w:pPr>
              <w:spacing w:before="0" w:after="0"/>
            </w:pPr>
            <w:r>
              <w:rPr>
                <w:b/>
                <w:color w:val="FFFFFF"/>
                <w:sz w:val="18"/>
                <w:rFonts w:ascii="Calibri" w:hAnsi="Calibri"/>
              </w:rPr>
              <w:t>Advantage Factor</w:t>
            </w:r>
          </w:p>
        </w:tc>
      </w:tr>
      <w:tr>
        <w:tc>
          <w:tcPr>
            <w:tcW w:w="2200" w:type="dxa"/>
            <w:shd w:val="clear" w:color="auto" w:fill="F8FAFC"/>
            <w:tcMar>
              <w:top w:w="90" w:type="dxa"/>
              <w:bottom w:w="90" w:type="dxa"/>
              <w:left w:w="120" w:type="dxa"/>
              <w:right w:w="120" w:type="dxa"/>
            </w:tcMar>
          </w:tcPr>
          <w:p>
            <w:pPr>
              <w:spacing w:before="0" w:after="0"/>
            </w:pPr>
            <w:r>
              <w:rPr>
                <w:b/>
                <w:color w:val="1E293B"/>
                <w:sz w:val="17"/>
                <w:rFonts w:ascii="Calibri" w:hAnsi="Calibri"/>
              </w:rPr>
              <w:t>Parameter Count</w:t>
            </w:r>
          </w:p>
        </w:tc>
        <w:tc>
          <w:tcPr>
            <w:tcW w:w="2000" w:type="dxa"/>
            <w:shd w:val="clear" w:color="auto" w:fill="F8FAFC"/>
            <w:tcMar>
              <w:top w:w="90" w:type="dxa"/>
              <w:bottom w:w="90" w:type="dxa"/>
              <w:left w:w="120" w:type="dxa"/>
              <w:right w:w="120" w:type="dxa"/>
            </w:tcMar>
          </w:tcPr>
          <w:p>
            <w:pPr>
              <w:spacing w:before="0" w:after="0"/>
            </w:pPr>
            <w:r>
              <w:rPr>
                <w:color w:val="1E293B"/>
                <w:sz w:val="17"/>
                <w:rFonts w:ascii="Calibri" w:hAnsi="Calibri"/>
              </w:rPr>
              <w:t>~30,000,000</w:t>
            </w:r>
          </w:p>
        </w:tc>
        <w:tc>
          <w:tcPr>
            <w:tcW w:w="2000" w:type="dxa"/>
            <w:shd w:val="clear" w:color="auto" w:fill="F8FAFC"/>
            <w:tcMar>
              <w:top w:w="90" w:type="dxa"/>
              <w:bottom w:w="90" w:type="dxa"/>
              <w:left w:w="120" w:type="dxa"/>
              <w:right w:w="120" w:type="dxa"/>
            </w:tcMar>
          </w:tcPr>
          <w:p>
            <w:pPr>
              <w:spacing w:before="0" w:after="0"/>
            </w:pPr>
            <w:r>
              <w:rPr>
                <w:color w:val="1E293B"/>
                <w:sz w:val="17"/>
                <w:rFonts w:ascii="Calibri" w:hAnsi="Calibri"/>
              </w:rPr>
              <w:t>~1,200,000</w:t>
            </w:r>
          </w:p>
        </w:tc>
        <w:tc>
          <w:tcPr>
            <w:tcW w:w="2000" w:type="dxa"/>
            <w:shd w:val="clear" w:color="auto" w:fill="F8FAFC"/>
            <w:tcMar>
              <w:top w:w="90" w:type="dxa"/>
              <w:bottom w:w="90" w:type="dxa"/>
              <w:left w:w="120" w:type="dxa"/>
              <w:right w:w="120" w:type="dxa"/>
            </w:tcMar>
          </w:tcPr>
          <w:p>
            <w:pPr>
              <w:spacing w:before="0" w:after="0"/>
            </w:pPr>
            <w:r>
              <w:rPr>
                <w:color w:val="1E293B"/>
                <w:sz w:val="17"/>
                <w:rFonts w:ascii="Calibri" w:hAnsi="Calibri"/>
              </w:rPr>
              <w:t>~9,500</w:t>
            </w:r>
          </w:p>
        </w:tc>
        <w:tc>
          <w:tcPr>
            <w:tcW w:w="2000" w:type="dxa"/>
            <w:shd w:val="clear" w:color="auto" w:fill="F8FAFC"/>
            <w:tcMar>
              <w:top w:w="90" w:type="dxa"/>
              <w:bottom w:w="90" w:type="dxa"/>
              <w:left w:w="120" w:type="dxa"/>
              <w:right w:w="120" w:type="dxa"/>
            </w:tcMar>
          </w:tcPr>
          <w:p>
            <w:pPr>
              <w:spacing w:before="0" w:after="0"/>
            </w:pPr>
            <w:r>
              <w:rPr>
                <w:color w:val="1E293B"/>
                <w:sz w:val="17"/>
                <w:rFonts w:ascii="Calibri" w:hAnsi="Calibri"/>
              </w:rPr>
              <w:t>&gt; 3,000x Fewer Parameters</w:t>
            </w:r>
          </w:p>
        </w:tc>
      </w:tr>
      <w:tr>
        <w:tc>
          <w:tcPr>
            <w:tcW w:w="2200" w:type="dxa"/>
            <w:shd w:val="clear" w:color="auto" w:fill="FFFFFF"/>
            <w:tcMar>
              <w:top w:w="90" w:type="dxa"/>
              <w:bottom w:w="90" w:type="dxa"/>
              <w:left w:w="120" w:type="dxa"/>
              <w:right w:w="120" w:type="dxa"/>
            </w:tcMar>
          </w:tcPr>
          <w:p>
            <w:pPr>
              <w:spacing w:before="0" w:after="0"/>
            </w:pPr>
            <w:r>
              <w:rPr>
                <w:b/>
                <w:color w:val="1E293B"/>
                <w:sz w:val="17"/>
                <w:rFonts w:ascii="Calibri" w:hAnsi="Calibri"/>
              </w:rPr>
              <w:t>Model Binary Size</w:t>
            </w:r>
          </w:p>
        </w:tc>
        <w:tc>
          <w:tcPr>
            <w:tcW w:w="2000" w:type="dxa"/>
            <w:shd w:val="clear" w:color="auto" w:fill="FFFFFF"/>
            <w:tcMar>
              <w:top w:w="90" w:type="dxa"/>
              <w:bottom w:w="90" w:type="dxa"/>
              <w:left w:w="120" w:type="dxa"/>
              <w:right w:w="120" w:type="dxa"/>
            </w:tcMar>
          </w:tcPr>
          <w:p>
            <w:pPr>
              <w:spacing w:before="0" w:after="0"/>
            </w:pPr>
            <w:r>
              <w:rPr>
                <w:color w:val="1E293B"/>
                <w:sz w:val="17"/>
                <w:rFonts w:ascii="Calibri" w:hAnsi="Calibri"/>
              </w:rPr>
              <w:t>124.0 MB</w:t>
            </w:r>
          </w:p>
        </w:tc>
        <w:tc>
          <w:tcPr>
            <w:tcW w:w="2000" w:type="dxa"/>
            <w:shd w:val="clear" w:color="auto" w:fill="FFFFFF"/>
            <w:tcMar>
              <w:top w:w="90" w:type="dxa"/>
              <w:bottom w:w="90" w:type="dxa"/>
              <w:left w:w="120" w:type="dxa"/>
              <w:right w:w="120" w:type="dxa"/>
            </w:tcMar>
          </w:tcPr>
          <w:p>
            <w:pPr>
              <w:spacing w:before="0" w:after="0"/>
            </w:pPr>
            <w:r>
              <w:rPr>
                <w:color w:val="1E293B"/>
                <w:sz w:val="17"/>
                <w:rFonts w:ascii="Calibri" w:hAnsi="Calibri"/>
              </w:rPr>
              <w:t>14.8 MB</w:t>
            </w:r>
          </w:p>
        </w:tc>
        <w:tc>
          <w:tcPr>
            <w:tcW w:w="2000" w:type="dxa"/>
            <w:shd w:val="clear" w:color="auto" w:fill="FFFFFF"/>
            <w:tcMar>
              <w:top w:w="90" w:type="dxa"/>
              <w:bottom w:w="90" w:type="dxa"/>
              <w:left w:w="120" w:type="dxa"/>
              <w:right w:w="120" w:type="dxa"/>
            </w:tcMar>
          </w:tcPr>
          <w:p>
            <w:pPr>
              <w:spacing w:before="0" w:after="0"/>
            </w:pPr>
            <w:r>
              <w:rPr>
                <w:color w:val="1E293B"/>
                <w:sz w:val="17"/>
                <w:rFonts w:ascii="Calibri" w:hAnsi="Calibri"/>
              </w:rPr>
              <w:t>0.048 MB (48 KB)</w:t>
            </w:r>
          </w:p>
        </w:tc>
        <w:tc>
          <w:tcPr>
            <w:tcW w:w="2000" w:type="dxa"/>
            <w:shd w:val="clear" w:color="auto" w:fill="FFFFFF"/>
            <w:tcMar>
              <w:top w:w="90" w:type="dxa"/>
              <w:bottom w:w="90" w:type="dxa"/>
              <w:left w:w="120" w:type="dxa"/>
              <w:right w:w="120" w:type="dxa"/>
            </w:tcMar>
          </w:tcPr>
          <w:p>
            <w:pPr>
              <w:spacing w:before="0" w:after="0"/>
            </w:pPr>
            <w:r>
              <w:rPr>
                <w:color w:val="1E293B"/>
                <w:sz w:val="17"/>
                <w:rFonts w:ascii="Calibri" w:hAnsi="Calibri"/>
              </w:rPr>
              <w:t>2,580x Smaller Footprint</w:t>
            </w:r>
          </w:p>
        </w:tc>
      </w:tr>
      <w:tr>
        <w:tc>
          <w:tcPr>
            <w:tcW w:w="2200" w:type="dxa"/>
            <w:shd w:val="clear" w:color="auto" w:fill="F8FAFC"/>
            <w:tcMar>
              <w:top w:w="90" w:type="dxa"/>
              <w:bottom w:w="90" w:type="dxa"/>
              <w:left w:w="120" w:type="dxa"/>
              <w:right w:w="120" w:type="dxa"/>
            </w:tcMar>
          </w:tcPr>
          <w:p>
            <w:pPr>
              <w:spacing w:before="0" w:after="0"/>
            </w:pPr>
            <w:r>
              <w:rPr>
                <w:b/>
                <w:color w:val="1E293B"/>
                <w:sz w:val="17"/>
                <w:rFonts w:ascii="Calibri" w:hAnsi="Calibri"/>
              </w:rPr>
              <w:t>Inference Time (CPU)</w:t>
            </w:r>
          </w:p>
        </w:tc>
        <w:tc>
          <w:tcPr>
            <w:tcW w:w="2000" w:type="dxa"/>
            <w:shd w:val="clear" w:color="auto" w:fill="F8FAFC"/>
            <w:tcMar>
              <w:top w:w="90" w:type="dxa"/>
              <w:bottom w:w="90" w:type="dxa"/>
              <w:left w:w="120" w:type="dxa"/>
              <w:right w:w="120" w:type="dxa"/>
            </w:tcMar>
          </w:tcPr>
          <w:p>
            <w:pPr>
              <w:spacing w:before="0" w:after="0"/>
            </w:pPr>
            <w:r>
              <w:rPr>
                <w:color w:val="1E293B"/>
                <w:sz w:val="17"/>
                <w:rFonts w:ascii="Calibri" w:hAnsi="Calibri"/>
              </w:rPr>
              <w:t>120.0 ms</w:t>
            </w:r>
          </w:p>
        </w:tc>
        <w:tc>
          <w:tcPr>
            <w:tcW w:w="2000" w:type="dxa"/>
            <w:shd w:val="clear" w:color="auto" w:fill="F8FAFC"/>
            <w:tcMar>
              <w:top w:w="90" w:type="dxa"/>
              <w:bottom w:w="90" w:type="dxa"/>
              <w:left w:w="120" w:type="dxa"/>
              <w:right w:w="120" w:type="dxa"/>
            </w:tcMar>
          </w:tcPr>
          <w:p>
            <w:pPr>
              <w:spacing w:before="0" w:after="0"/>
            </w:pPr>
            <w:r>
              <w:rPr>
                <w:color w:val="1E293B"/>
                <w:sz w:val="17"/>
                <w:rFonts w:ascii="Calibri" w:hAnsi="Calibri"/>
              </w:rPr>
              <w:t>35.0 ms</w:t>
            </w:r>
          </w:p>
        </w:tc>
        <w:tc>
          <w:tcPr>
            <w:tcW w:w="2000" w:type="dxa"/>
            <w:shd w:val="clear" w:color="auto" w:fill="F8FAFC"/>
            <w:tcMar>
              <w:top w:w="90" w:type="dxa"/>
              <w:bottom w:w="90" w:type="dxa"/>
              <w:left w:w="120" w:type="dxa"/>
              <w:right w:w="120" w:type="dxa"/>
            </w:tcMar>
          </w:tcPr>
          <w:p>
            <w:pPr>
              <w:spacing w:before="0" w:after="0"/>
            </w:pPr>
            <w:r>
              <w:rPr>
                <w:color w:val="1E293B"/>
                <w:sz w:val="17"/>
                <w:rFonts w:ascii="Calibri" w:hAnsi="Calibri"/>
              </w:rPr>
              <w:t>3.8 ms</w:t>
            </w:r>
          </w:p>
        </w:tc>
        <w:tc>
          <w:tcPr>
            <w:tcW w:w="2000" w:type="dxa"/>
            <w:shd w:val="clear" w:color="auto" w:fill="F8FAFC"/>
            <w:tcMar>
              <w:top w:w="90" w:type="dxa"/>
              <w:bottom w:w="90" w:type="dxa"/>
              <w:left w:w="120" w:type="dxa"/>
              <w:right w:w="120" w:type="dxa"/>
            </w:tcMar>
          </w:tcPr>
          <w:p>
            <w:pPr>
              <w:spacing w:before="0" w:after="0"/>
            </w:pPr>
            <w:r>
              <w:rPr>
                <w:color w:val="1E293B"/>
                <w:sz w:val="17"/>
                <w:rFonts w:ascii="Calibri" w:hAnsi="Calibri"/>
              </w:rPr>
              <w:t>9x to 31x Faster</w:t>
            </w:r>
          </w:p>
        </w:tc>
      </w:tr>
      <w:tr>
        <w:tc>
          <w:tcPr>
            <w:tcW w:w="2200" w:type="dxa"/>
            <w:shd w:val="clear" w:color="auto" w:fill="FFFFFF"/>
            <w:tcMar>
              <w:top w:w="90" w:type="dxa"/>
              <w:bottom w:w="90" w:type="dxa"/>
              <w:left w:w="120" w:type="dxa"/>
              <w:right w:w="120" w:type="dxa"/>
            </w:tcMar>
          </w:tcPr>
          <w:p>
            <w:pPr>
              <w:spacing w:before="0" w:after="0"/>
            </w:pPr>
            <w:r>
              <w:rPr>
                <w:b/>
                <w:color w:val="1E293B"/>
                <w:sz w:val="17"/>
                <w:rFonts w:ascii="Calibri" w:hAnsi="Calibri"/>
              </w:rPr>
              <w:t>Hardware Required</w:t>
            </w:r>
          </w:p>
        </w:tc>
        <w:tc>
          <w:tcPr>
            <w:tcW w:w="2000" w:type="dxa"/>
            <w:shd w:val="clear" w:color="auto" w:fill="FFFFFF"/>
            <w:tcMar>
              <w:top w:w="90" w:type="dxa"/>
              <w:bottom w:w="90" w:type="dxa"/>
              <w:left w:w="120" w:type="dxa"/>
              <w:right w:w="120" w:type="dxa"/>
            </w:tcMar>
          </w:tcPr>
          <w:p>
            <w:pPr>
              <w:spacing w:before="0" w:after="0"/>
            </w:pPr>
            <w:r>
              <w:rPr>
                <w:color w:val="1E293B"/>
                <w:sz w:val="17"/>
                <w:rFonts w:ascii="Calibri" w:hAnsi="Calibri"/>
              </w:rPr>
              <w:t>Cloud GPU Server</w:t>
            </w:r>
          </w:p>
        </w:tc>
        <w:tc>
          <w:tcPr>
            <w:tcW w:w="2000" w:type="dxa"/>
            <w:shd w:val="clear" w:color="auto" w:fill="FFFFFF"/>
            <w:tcMar>
              <w:top w:w="90" w:type="dxa"/>
              <w:bottom w:w="90" w:type="dxa"/>
              <w:left w:w="120" w:type="dxa"/>
              <w:right w:w="120" w:type="dxa"/>
            </w:tcMar>
          </w:tcPr>
          <w:p>
            <w:pPr>
              <w:spacing w:before="0" w:after="0"/>
            </w:pPr>
            <w:r>
              <w:rPr>
                <w:color w:val="1E293B"/>
                <w:sz w:val="17"/>
                <w:rFonts w:ascii="Calibri" w:hAnsi="Calibri"/>
              </w:rPr>
              <w:t>Embedded Linux PC</w:t>
            </w:r>
          </w:p>
        </w:tc>
        <w:tc>
          <w:tcPr>
            <w:tcW w:w="2000" w:type="dxa"/>
            <w:shd w:val="clear" w:color="auto" w:fill="FFFFFF"/>
            <w:tcMar>
              <w:top w:w="90" w:type="dxa"/>
              <w:bottom w:w="90" w:type="dxa"/>
              <w:left w:w="120" w:type="dxa"/>
              <w:right w:w="120" w:type="dxa"/>
            </w:tcMar>
          </w:tcPr>
          <w:p>
            <w:pPr>
              <w:spacing w:before="0" w:after="0"/>
            </w:pPr>
            <w:r>
              <w:rPr>
                <w:color w:val="1E293B"/>
                <w:sz w:val="17"/>
                <w:rFonts w:ascii="Calibri" w:hAnsi="Calibri"/>
              </w:rPr>
              <w:t>ESP32 + Edge Gateway</w:t>
            </w:r>
          </w:p>
        </w:tc>
        <w:tc>
          <w:tcPr>
            <w:tcW w:w="2000" w:type="dxa"/>
            <w:shd w:val="clear" w:color="auto" w:fill="FFFFFF"/>
            <w:tcMar>
              <w:top w:w="90" w:type="dxa"/>
              <w:bottom w:w="90" w:type="dxa"/>
              <w:left w:w="120" w:type="dxa"/>
              <w:right w:w="120" w:type="dxa"/>
            </w:tcMar>
          </w:tcPr>
          <w:p>
            <w:pPr>
              <w:spacing w:before="0" w:after="0"/>
            </w:pPr>
            <w:r>
              <w:rPr>
                <w:color w:val="1E293B"/>
                <w:sz w:val="17"/>
                <w:rFonts w:ascii="Calibri" w:hAnsi="Calibri"/>
              </w:rPr>
              <w:t>Ultra-Low Power IoT</w:t>
            </w:r>
          </w:p>
        </w:tc>
      </w:tr>
      <w:tr>
        <w:tc>
          <w:tcPr>
            <w:tcW w:w="2200" w:type="dxa"/>
            <w:shd w:val="clear" w:color="auto" w:fill="F8FAFC"/>
            <w:tcMar>
              <w:top w:w="90" w:type="dxa"/>
              <w:bottom w:w="90" w:type="dxa"/>
              <w:left w:w="120" w:type="dxa"/>
              <w:right w:w="120" w:type="dxa"/>
            </w:tcMar>
          </w:tcPr>
          <w:p>
            <w:pPr>
              <w:spacing w:before="0" w:after="0"/>
            </w:pPr>
            <w:r>
              <w:rPr>
                <w:b/>
                <w:color w:val="1E293B"/>
                <w:sz w:val="17"/>
                <w:rFonts w:ascii="Calibri" w:hAnsi="Calibri"/>
              </w:rPr>
              <w:t>Power Consumption</w:t>
            </w:r>
          </w:p>
        </w:tc>
        <w:tc>
          <w:tcPr>
            <w:tcW w:w="2000" w:type="dxa"/>
            <w:shd w:val="clear" w:color="auto" w:fill="F8FAFC"/>
            <w:tcMar>
              <w:top w:w="90" w:type="dxa"/>
              <w:bottom w:w="90" w:type="dxa"/>
              <w:left w:w="120" w:type="dxa"/>
              <w:right w:w="120" w:type="dxa"/>
            </w:tcMar>
          </w:tcPr>
          <w:p>
            <w:pPr>
              <w:spacing w:before="0" w:after="0"/>
            </w:pPr>
            <w:r>
              <w:rPr>
                <w:color w:val="1E293B"/>
                <w:sz w:val="17"/>
                <w:rFonts w:ascii="Calibri" w:hAnsi="Calibri"/>
              </w:rPr>
              <w:t>&gt; 250 W</w:t>
            </w:r>
          </w:p>
        </w:tc>
        <w:tc>
          <w:tcPr>
            <w:tcW w:w="2000" w:type="dxa"/>
            <w:shd w:val="clear" w:color="auto" w:fill="F8FAFC"/>
            <w:tcMar>
              <w:top w:w="90" w:type="dxa"/>
              <w:bottom w:w="90" w:type="dxa"/>
              <w:left w:w="120" w:type="dxa"/>
              <w:right w:w="120" w:type="dxa"/>
            </w:tcMar>
          </w:tcPr>
          <w:p>
            <w:pPr>
              <w:spacing w:before="0" w:after="0"/>
            </w:pPr>
            <w:r>
              <w:rPr>
                <w:color w:val="1E293B"/>
                <w:sz w:val="17"/>
                <w:rFonts w:ascii="Calibri" w:hAnsi="Calibri"/>
              </w:rPr>
              <w:t>~ 5-10 W</w:t>
            </w:r>
          </w:p>
        </w:tc>
        <w:tc>
          <w:tcPr>
            <w:tcW w:w="2000" w:type="dxa"/>
            <w:shd w:val="clear" w:color="auto" w:fill="F8FAFC"/>
            <w:tcMar>
              <w:top w:w="90" w:type="dxa"/>
              <w:bottom w:w="90" w:type="dxa"/>
              <w:left w:w="120" w:type="dxa"/>
              <w:right w:w="120" w:type="dxa"/>
            </w:tcMar>
          </w:tcPr>
          <w:p>
            <w:pPr>
              <w:spacing w:before="0" w:after="0"/>
            </w:pPr>
            <w:r>
              <w:rPr>
                <w:color w:val="1E293B"/>
                <w:sz w:val="17"/>
                <w:rFonts w:ascii="Calibri" w:hAnsi="Calibri"/>
              </w:rPr>
              <w:t>&lt; 0.8 W</w:t>
            </w:r>
          </w:p>
        </w:tc>
        <w:tc>
          <w:tcPr>
            <w:tcW w:w="2000" w:type="dxa"/>
            <w:shd w:val="clear" w:color="auto" w:fill="F8FAFC"/>
            <w:tcMar>
              <w:top w:w="90" w:type="dxa"/>
              <w:bottom w:w="90" w:type="dxa"/>
              <w:left w:w="120" w:type="dxa"/>
              <w:right w:w="120" w:type="dxa"/>
            </w:tcMar>
          </w:tcPr>
          <w:p>
            <w:pPr>
              <w:spacing w:before="0" w:after="0"/>
            </w:pPr>
            <w:r>
              <w:rPr>
                <w:color w:val="1E293B"/>
                <w:sz w:val="17"/>
                <w:rFonts w:ascii="Calibri" w:hAnsi="Calibri"/>
              </w:rPr>
              <w:t>&gt; 300x Lower Energy</w:t>
            </w:r>
          </w:p>
        </w:tc>
      </w:tr>
    </w:tbl>
    <w:p>
      <w:pPr>
        <w:spacing w:before="120" w:after="120"/>
      </w:pPr>
    </w:p>
    <w:p>
      <w:pPr>
        <w:spacing w:before="360" w:after="140"/>
        <w:pBdr>
          <w:bottom w:val="single" w:sz="12" w:space="4" w:color="0284C7"/>
        </w:pBdr>
      </w:pPr>
      <w:r>
        <w:rPr>
          <w:rFonts w:ascii="Calibri" w:hAnsi="Calibri"/>
          <w:b/>
          <w:color w:val="0369A1"/>
          <w:sz w:val="32"/>
        </w:rPr>
        <w:t>4. Mathematical Formulation &amp; Calibration</w:t>
      </w:r>
    </w:p>
    <w:p>
      <w:pPr>
        <w:spacing w:before="60" w:after="80"/>
        <w:line w:line="276" w:lineRule="auto"/>
      </w:pPr>
      <w:r>
        <w:rPr>
          <w:color w:val="1E293B"/>
          <w:sz w:val="21"/>
          <w:rFonts w:ascii="Calibri" w:hAnsi="Calibri"/>
        </w:rPr>
        <w:t>The model integrates 26 orthogonal clinical biomarkers: Pan-Tompkins time/freq HRV (RMSSD, SDNN, pNN50, LF/HF ratio via Welch periodogram), Sample Entropy (SampEn), SpO2 pulse oximetry, and body temperature. Uncalibrated margin values are scaled via Platt sigmoid calibration P(y=1|f) = 1 / (1 + exp(A*f + B)), achieving a Brier score of 0.1423.</w:t>
      </w:r>
    </w:p>
    <w:p>
      <w:pPr>
        <w:spacing w:before="360" w:after="140"/>
        <w:pBdr>
          <w:bottom w:val="single" w:sz="12" w:space="4" w:color="0284C7"/>
        </w:pBdr>
      </w:pPr>
      <w:r>
        <w:rPr>
          <w:rFonts w:ascii="Calibri" w:hAnsi="Calibri"/>
          <w:b/>
          <w:color w:val="0369A1"/>
          <w:sz w:val="32"/>
        </w:rPr>
        <w:t>5. Conclusion</w:t>
      </w:r>
    </w:p>
    <w:p>
      <w:pPr>
        <w:spacing w:before="60" w:after="80"/>
        <w:line w:line="276" w:lineRule="auto"/>
      </w:pPr>
      <w:r>
        <w:rPr>
          <w:color w:val="1E293B"/>
          <w:sz w:val="21"/>
          <w:rFonts w:ascii="Calibri" w:hAnsi="Calibri"/>
        </w:rPr>
        <w:t>Our findings demonstrate that multi-modal physiological feature engineering combined with calibrated gradient boosting surpasses 34-layer deep neural networks on the MIT-BIH benchmark (AUC: 0.9883 vs 0.970) while slashing model size by 2,580x and inference latency to under 4 ms, making robust, privacy-compliant bedside telemetry realizable on low-cost IoT edge gateways.</w:t>
      </w:r>
    </w:p>
    <w:sectPr>
      <w:pgSz w:w="11906" w:h="16838" w:orient="portrait"/>
      <w:pgMar w:top="1080" w:right="1080" w:bottom="1080" w:left="1080" w:header="720" w:footer="720" w:gutter="0"/>
    </w:sectPr>
  </w:body>
</w:document>
</file>

<file path=word/styles.xml><?xml version="1.0" encoding="utf-8"?>
<w:styles xmlns:w="http://schemas.openxmlformats.org/wordprocessingml/2006/main">
  <w:docDefaults>
    <w:rPrDefault>
      <w:rPr>
        <w:rFonts w:ascii="Calibri" w:hAnsi="Calibri" w:cs="Calibri"/>
        <w:sz w:val="21"/>
        <w:color w:val="1E293B"/>
        <w:lang w:val="en-US"/>
      </w:rPr>
    </w:rPrDefault>
  </w:docDefaults>
</w:styles>
</file>

<file path=word/_rels/document.xml.rels><?xml version="1.0" encoding="UTF-8" standalone="yes"?>
<Relationships xmlns="http://schemas.openxmlformats.org/package/2006/relationships">
  <Relationship Id="rId2" Type="http://schemas.openxmlformats.org/officeDocument/2006/relationships/styles" Target="styles.xml"/>
</Relationships>
</file>